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90"/>
        <w:tblW w:w="10100" w:type="dxa"/>
        <w:tblLayout w:type="fixed"/>
        <w:tblLook w:val="04A0" w:firstRow="1" w:lastRow="0" w:firstColumn="1" w:lastColumn="0" w:noHBand="0" w:noVBand="1"/>
      </w:tblPr>
      <w:tblGrid>
        <w:gridCol w:w="321"/>
        <w:gridCol w:w="3191"/>
        <w:gridCol w:w="1712"/>
        <w:gridCol w:w="1522"/>
        <w:gridCol w:w="784"/>
        <w:gridCol w:w="714"/>
        <w:gridCol w:w="1276"/>
        <w:gridCol w:w="580"/>
      </w:tblGrid>
      <w:tr w:rsidR="003D2D32" w:rsidRPr="00520379" w:rsidTr="0029432C">
        <w:trPr>
          <w:trHeight w:val="103"/>
        </w:trPr>
        <w:tc>
          <w:tcPr>
            <w:tcW w:w="10100" w:type="dxa"/>
            <w:gridSpan w:val="8"/>
            <w:noWrap/>
            <w:vAlign w:val="center"/>
            <w:hideMark/>
          </w:tcPr>
          <w:p w:rsidR="003D2D32" w:rsidRPr="00D82633" w:rsidRDefault="003D2D32" w:rsidP="0029432C">
            <w:pPr>
              <w:jc w:val="center"/>
              <w:rPr>
                <w:rFonts w:cstheme="minorHAnsi"/>
                <w:b/>
                <w:bCs/>
                <w:sz w:val="24"/>
                <w:szCs w:val="24"/>
              </w:rPr>
            </w:pPr>
            <w:r w:rsidRPr="00D82633">
              <w:rPr>
                <w:rFonts w:cstheme="minorHAnsi"/>
                <w:b/>
                <w:bCs/>
                <w:sz w:val="24"/>
                <w:szCs w:val="24"/>
              </w:rPr>
              <w:t>PERFORMANS HEDEFİ TABLOSU</w:t>
            </w:r>
          </w:p>
        </w:tc>
      </w:tr>
      <w:tr w:rsidR="003D2D32" w:rsidRPr="00520379" w:rsidTr="0029432C">
        <w:trPr>
          <w:trHeight w:val="442"/>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İdare Adı</w:t>
            </w:r>
          </w:p>
        </w:tc>
        <w:tc>
          <w:tcPr>
            <w:tcW w:w="6588" w:type="dxa"/>
            <w:gridSpan w:val="6"/>
            <w:vAlign w:val="center"/>
            <w:hideMark/>
          </w:tcPr>
          <w:p w:rsidR="003D2D32" w:rsidRPr="00D82633" w:rsidRDefault="003D2D32" w:rsidP="0029432C">
            <w:pPr>
              <w:jc w:val="both"/>
              <w:rPr>
                <w:rFonts w:cstheme="minorHAnsi"/>
                <w:sz w:val="24"/>
                <w:szCs w:val="24"/>
              </w:rPr>
            </w:pPr>
            <w:r w:rsidRPr="00D82633">
              <w:rPr>
                <w:rFonts w:cstheme="minorHAnsi"/>
                <w:sz w:val="24"/>
                <w:szCs w:val="24"/>
              </w:rPr>
              <w:t>38.55 - AHİ EVRAN ÜNİVERSİTESİ</w:t>
            </w:r>
          </w:p>
        </w:tc>
      </w:tr>
      <w:tr w:rsidR="003D2D32" w:rsidRPr="00520379" w:rsidTr="0029432C">
        <w:trPr>
          <w:trHeight w:val="534"/>
        </w:trPr>
        <w:tc>
          <w:tcPr>
            <w:tcW w:w="3512" w:type="dxa"/>
            <w:gridSpan w:val="2"/>
            <w:vAlign w:val="center"/>
            <w:hideMark/>
          </w:tcPr>
          <w:p w:rsidR="003D2D32" w:rsidRPr="00D82633" w:rsidRDefault="003D2D32" w:rsidP="0029432C">
            <w:pPr>
              <w:rPr>
                <w:rFonts w:cstheme="minorHAnsi"/>
                <w:b/>
                <w:bCs/>
                <w:sz w:val="24"/>
                <w:szCs w:val="24"/>
              </w:rPr>
            </w:pPr>
            <w:r w:rsidRPr="00D82633">
              <w:rPr>
                <w:rFonts w:cstheme="minorHAnsi"/>
                <w:b/>
                <w:bCs/>
                <w:sz w:val="24"/>
                <w:szCs w:val="24"/>
              </w:rPr>
              <w:t>Amaç</w:t>
            </w:r>
          </w:p>
        </w:tc>
        <w:tc>
          <w:tcPr>
            <w:tcW w:w="6588" w:type="dxa"/>
            <w:gridSpan w:val="6"/>
            <w:hideMark/>
          </w:tcPr>
          <w:p w:rsidR="003D2D32" w:rsidRPr="00D82633" w:rsidRDefault="004543F9" w:rsidP="0029432C">
            <w:pPr>
              <w:jc w:val="both"/>
              <w:rPr>
                <w:rFonts w:cstheme="minorHAnsi"/>
                <w:sz w:val="24"/>
                <w:szCs w:val="24"/>
                <w:lang w:eastAsia="tr-TR"/>
              </w:rPr>
            </w:pPr>
            <w:r w:rsidRPr="004543F9">
              <w:rPr>
                <w:rFonts w:cstheme="minorHAnsi"/>
                <w:sz w:val="24"/>
                <w:szCs w:val="24"/>
                <w:lang w:eastAsia="tr-TR"/>
              </w:rPr>
              <w:t>AMAÇ 2: Eğitim-Öğretimde Kaliteyi Önceleyen, Ulusal ve Uluslararası Akreditasyona Sahip, Tercih Edilen Üniversiteler Arasına Girmek</w:t>
            </w:r>
          </w:p>
        </w:tc>
      </w:tr>
      <w:tr w:rsidR="005A23A0" w:rsidRPr="00520379" w:rsidTr="009D7130">
        <w:trPr>
          <w:trHeight w:val="570"/>
        </w:trPr>
        <w:tc>
          <w:tcPr>
            <w:tcW w:w="3512" w:type="dxa"/>
            <w:gridSpan w:val="2"/>
            <w:vAlign w:val="center"/>
            <w:hideMark/>
          </w:tcPr>
          <w:p w:rsidR="005A23A0" w:rsidRPr="00D82633" w:rsidRDefault="005A23A0" w:rsidP="005A23A0">
            <w:pPr>
              <w:rPr>
                <w:rFonts w:cstheme="minorHAnsi"/>
                <w:b/>
                <w:bCs/>
                <w:sz w:val="24"/>
                <w:szCs w:val="24"/>
              </w:rPr>
            </w:pPr>
            <w:r w:rsidRPr="00D82633">
              <w:rPr>
                <w:rFonts w:cstheme="minorHAnsi"/>
                <w:b/>
                <w:bCs/>
                <w:sz w:val="24"/>
                <w:szCs w:val="24"/>
              </w:rPr>
              <w:t>Hedef</w:t>
            </w:r>
          </w:p>
        </w:tc>
        <w:tc>
          <w:tcPr>
            <w:tcW w:w="6588" w:type="dxa"/>
            <w:gridSpan w:val="6"/>
            <w:vAlign w:val="center"/>
            <w:hideMark/>
          </w:tcPr>
          <w:p w:rsidR="005A23A0" w:rsidRPr="00F42493" w:rsidRDefault="00D55B3D" w:rsidP="005A23A0">
            <w:pPr>
              <w:jc w:val="both"/>
              <w:rPr>
                <w:rFonts w:ascii="Tahoma" w:hAnsi="Tahoma" w:cs="Tahoma"/>
                <w:sz w:val="18"/>
                <w:szCs w:val="18"/>
                <w:lang w:eastAsia="tr-TR"/>
              </w:rPr>
            </w:pPr>
            <w:r w:rsidRPr="00D55B3D">
              <w:rPr>
                <w:rFonts w:cstheme="minorHAnsi"/>
                <w:sz w:val="24"/>
                <w:szCs w:val="24"/>
                <w:lang w:eastAsia="tr-TR"/>
              </w:rPr>
              <w:t xml:space="preserve">Hedef </w:t>
            </w:r>
            <w:proofErr w:type="gramStart"/>
            <w:r w:rsidRPr="00D55B3D">
              <w:rPr>
                <w:rFonts w:cstheme="minorHAnsi"/>
                <w:sz w:val="24"/>
                <w:szCs w:val="24"/>
                <w:lang w:eastAsia="tr-TR"/>
              </w:rPr>
              <w:t>2.5</w:t>
            </w:r>
            <w:proofErr w:type="gramEnd"/>
            <w:r w:rsidRPr="00D55B3D">
              <w:rPr>
                <w:rFonts w:cstheme="minorHAnsi"/>
                <w:sz w:val="24"/>
                <w:szCs w:val="24"/>
                <w:lang w:eastAsia="tr-TR"/>
              </w:rPr>
              <w:t>: Öğretim elemanı başına düşen uluslararası endekslerdeki ortalama yayın sayısı 0,2 puan artırılacaktır.</w:t>
            </w:r>
          </w:p>
        </w:tc>
      </w:tr>
      <w:tr w:rsidR="005A23A0" w:rsidRPr="00520379" w:rsidTr="00B34B44">
        <w:trPr>
          <w:trHeight w:val="563"/>
        </w:trPr>
        <w:tc>
          <w:tcPr>
            <w:tcW w:w="3512" w:type="dxa"/>
            <w:gridSpan w:val="2"/>
            <w:vAlign w:val="center"/>
            <w:hideMark/>
          </w:tcPr>
          <w:p w:rsidR="005A23A0" w:rsidRPr="00D82633" w:rsidRDefault="005A23A0" w:rsidP="005A23A0">
            <w:pPr>
              <w:rPr>
                <w:rFonts w:cstheme="minorHAnsi"/>
                <w:b/>
                <w:bCs/>
                <w:sz w:val="24"/>
                <w:szCs w:val="24"/>
              </w:rPr>
            </w:pPr>
            <w:r w:rsidRPr="00D82633">
              <w:rPr>
                <w:rFonts w:cstheme="minorHAnsi"/>
                <w:b/>
                <w:bCs/>
                <w:sz w:val="24"/>
                <w:szCs w:val="24"/>
              </w:rPr>
              <w:t>Performans Hedefi</w:t>
            </w:r>
          </w:p>
        </w:tc>
        <w:tc>
          <w:tcPr>
            <w:tcW w:w="6588" w:type="dxa"/>
            <w:gridSpan w:val="6"/>
            <w:vAlign w:val="center"/>
            <w:hideMark/>
          </w:tcPr>
          <w:p w:rsidR="005A23A0" w:rsidRPr="004543F9" w:rsidRDefault="00D55B3D" w:rsidP="005A23A0">
            <w:pPr>
              <w:jc w:val="both"/>
              <w:rPr>
                <w:rFonts w:cstheme="minorHAnsi"/>
                <w:sz w:val="24"/>
                <w:szCs w:val="24"/>
                <w:lang w:eastAsia="tr-TR"/>
              </w:rPr>
            </w:pPr>
            <w:r w:rsidRPr="00D55B3D">
              <w:rPr>
                <w:rFonts w:cstheme="minorHAnsi"/>
                <w:sz w:val="24"/>
                <w:szCs w:val="24"/>
                <w:lang w:eastAsia="tr-TR"/>
              </w:rPr>
              <w:t xml:space="preserve">Üniversitedeki araştırmaya yönelik mevcut fiziki </w:t>
            </w:r>
            <w:proofErr w:type="gramStart"/>
            <w:r w:rsidRPr="00D55B3D">
              <w:rPr>
                <w:rFonts w:cstheme="minorHAnsi"/>
                <w:sz w:val="24"/>
                <w:szCs w:val="24"/>
                <w:lang w:eastAsia="tr-TR"/>
              </w:rPr>
              <w:t>imkanlar</w:t>
            </w:r>
            <w:proofErr w:type="gramEnd"/>
            <w:r w:rsidRPr="00D55B3D">
              <w:rPr>
                <w:rFonts w:cstheme="minorHAnsi"/>
                <w:sz w:val="24"/>
                <w:szCs w:val="24"/>
                <w:lang w:eastAsia="tr-TR"/>
              </w:rPr>
              <w:t xml:space="preserve"> analiz edilerek Üniversitenin fiziki altyapısında iyileştirmeler yapılacaktır. Proje destekleri arttırılarak yayın potansiyeli </w:t>
            </w:r>
            <w:proofErr w:type="gramStart"/>
            <w:r w:rsidRPr="00D55B3D">
              <w:rPr>
                <w:rFonts w:cstheme="minorHAnsi"/>
                <w:sz w:val="24"/>
                <w:szCs w:val="24"/>
                <w:lang w:eastAsia="tr-TR"/>
              </w:rPr>
              <w:t>yüksek öğretim</w:t>
            </w:r>
            <w:proofErr w:type="gramEnd"/>
            <w:r w:rsidRPr="00D55B3D">
              <w:rPr>
                <w:rFonts w:cstheme="minorHAnsi"/>
                <w:sz w:val="24"/>
                <w:szCs w:val="24"/>
                <w:lang w:eastAsia="tr-TR"/>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5A23A0" w:rsidRPr="00520379" w:rsidTr="0029432C">
        <w:trPr>
          <w:trHeight w:val="390"/>
        </w:trPr>
        <w:tc>
          <w:tcPr>
            <w:tcW w:w="3512" w:type="dxa"/>
            <w:gridSpan w:val="2"/>
            <w:noWrap/>
            <w:vAlign w:val="center"/>
            <w:hideMark/>
          </w:tcPr>
          <w:p w:rsidR="005A23A0" w:rsidRPr="00D82633" w:rsidRDefault="005A23A0" w:rsidP="005A23A0">
            <w:pPr>
              <w:rPr>
                <w:rFonts w:cstheme="minorHAnsi"/>
                <w:b/>
                <w:bCs/>
                <w:sz w:val="24"/>
                <w:szCs w:val="24"/>
              </w:rPr>
            </w:pPr>
            <w:r w:rsidRPr="00D82633">
              <w:rPr>
                <w:rFonts w:cstheme="minorHAnsi"/>
                <w:b/>
                <w:bCs/>
                <w:sz w:val="24"/>
                <w:szCs w:val="24"/>
              </w:rPr>
              <w:t>Performans Göstergeleri</w:t>
            </w:r>
          </w:p>
        </w:tc>
        <w:tc>
          <w:tcPr>
            <w:tcW w:w="1712" w:type="dxa"/>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Ölçü Birimi</w:t>
            </w:r>
          </w:p>
        </w:tc>
        <w:tc>
          <w:tcPr>
            <w:tcW w:w="2306" w:type="dxa"/>
            <w:gridSpan w:val="2"/>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2017 Gerçekleşme</w:t>
            </w:r>
          </w:p>
        </w:tc>
        <w:tc>
          <w:tcPr>
            <w:tcW w:w="2570" w:type="dxa"/>
            <w:gridSpan w:val="3"/>
            <w:noWrap/>
            <w:vAlign w:val="center"/>
            <w:hideMark/>
          </w:tcPr>
          <w:p w:rsidR="005A23A0" w:rsidRPr="00D82633" w:rsidRDefault="005A23A0" w:rsidP="005A23A0">
            <w:pPr>
              <w:jc w:val="center"/>
              <w:rPr>
                <w:rFonts w:cstheme="minorHAnsi"/>
                <w:b/>
                <w:bCs/>
                <w:sz w:val="24"/>
                <w:szCs w:val="24"/>
              </w:rPr>
            </w:pPr>
            <w:r w:rsidRPr="00D82633">
              <w:rPr>
                <w:rFonts w:cstheme="minorHAnsi"/>
                <w:b/>
                <w:bCs/>
                <w:sz w:val="24"/>
                <w:szCs w:val="24"/>
              </w:rPr>
              <w:t>2018 Hedef</w:t>
            </w:r>
          </w:p>
        </w:tc>
      </w:tr>
      <w:tr w:rsidR="005A23A0" w:rsidRPr="00520379" w:rsidTr="0029432C">
        <w:trPr>
          <w:trHeight w:val="409"/>
        </w:trPr>
        <w:tc>
          <w:tcPr>
            <w:tcW w:w="321" w:type="dxa"/>
            <w:noWrap/>
            <w:vAlign w:val="center"/>
            <w:hideMark/>
          </w:tcPr>
          <w:p w:rsidR="005A23A0" w:rsidRPr="00D82633" w:rsidRDefault="005A23A0" w:rsidP="005A23A0">
            <w:pPr>
              <w:rPr>
                <w:rFonts w:cstheme="minorHAnsi"/>
                <w:sz w:val="24"/>
                <w:szCs w:val="24"/>
              </w:rPr>
            </w:pPr>
            <w:r w:rsidRPr="00D82633">
              <w:rPr>
                <w:rFonts w:cstheme="minorHAnsi"/>
                <w:sz w:val="24"/>
                <w:szCs w:val="24"/>
              </w:rPr>
              <w:t>1</w:t>
            </w:r>
          </w:p>
        </w:tc>
        <w:tc>
          <w:tcPr>
            <w:tcW w:w="3191" w:type="dxa"/>
            <w:vAlign w:val="center"/>
            <w:hideMark/>
          </w:tcPr>
          <w:p w:rsidR="005A23A0" w:rsidRPr="00D82633" w:rsidRDefault="00D55B3D" w:rsidP="00D55B3D">
            <w:pPr>
              <w:jc w:val="both"/>
              <w:rPr>
                <w:rFonts w:cstheme="minorHAnsi"/>
                <w:sz w:val="24"/>
                <w:szCs w:val="24"/>
              </w:rPr>
            </w:pPr>
            <w:r w:rsidRPr="00D55B3D">
              <w:rPr>
                <w:rFonts w:cstheme="minorHAnsi"/>
                <w:sz w:val="24"/>
                <w:szCs w:val="24"/>
                <w:lang w:eastAsia="tr-TR"/>
              </w:rPr>
              <w:t>Öğretim elemanı başına düşen uluslararası endekslerdeki ortalama yayın sayısı(puan)</w:t>
            </w:r>
          </w:p>
        </w:tc>
        <w:tc>
          <w:tcPr>
            <w:tcW w:w="1712" w:type="dxa"/>
            <w:vAlign w:val="center"/>
            <w:hideMark/>
          </w:tcPr>
          <w:p w:rsidR="005A23A0" w:rsidRPr="00D82633" w:rsidRDefault="00D84E27" w:rsidP="005A23A0">
            <w:pPr>
              <w:rPr>
                <w:rFonts w:cstheme="minorHAnsi"/>
                <w:sz w:val="24"/>
                <w:szCs w:val="24"/>
              </w:rPr>
            </w:pPr>
            <w:r>
              <w:rPr>
                <w:rFonts w:cstheme="minorHAnsi"/>
                <w:sz w:val="24"/>
                <w:szCs w:val="24"/>
                <w:lang w:eastAsia="tr-TR"/>
              </w:rPr>
              <w:t>Sayı</w:t>
            </w:r>
          </w:p>
        </w:tc>
        <w:tc>
          <w:tcPr>
            <w:tcW w:w="2306" w:type="dxa"/>
            <w:gridSpan w:val="2"/>
            <w:noWrap/>
            <w:vAlign w:val="center"/>
            <w:hideMark/>
          </w:tcPr>
          <w:p w:rsidR="005A23A0" w:rsidRPr="00D82633" w:rsidRDefault="005A23A0" w:rsidP="005A23A0">
            <w:pPr>
              <w:rPr>
                <w:rFonts w:cstheme="minorHAnsi"/>
                <w:sz w:val="24"/>
                <w:szCs w:val="24"/>
              </w:rPr>
            </w:pPr>
          </w:p>
        </w:tc>
        <w:tc>
          <w:tcPr>
            <w:tcW w:w="2570" w:type="dxa"/>
            <w:gridSpan w:val="3"/>
            <w:noWrap/>
            <w:vAlign w:val="center"/>
            <w:hideMark/>
          </w:tcPr>
          <w:p w:rsidR="005A23A0" w:rsidRPr="00D82633" w:rsidRDefault="0055577E" w:rsidP="005A23A0">
            <w:pPr>
              <w:jc w:val="center"/>
              <w:rPr>
                <w:rFonts w:cstheme="minorHAnsi"/>
                <w:sz w:val="24"/>
                <w:szCs w:val="24"/>
              </w:rPr>
            </w:pPr>
            <w:r>
              <w:rPr>
                <w:rFonts w:cstheme="minorHAnsi"/>
                <w:sz w:val="24"/>
                <w:szCs w:val="24"/>
              </w:rPr>
              <w:t>5</w:t>
            </w:r>
          </w:p>
        </w:tc>
      </w:tr>
      <w:tr w:rsidR="005A23A0" w:rsidRPr="00520379" w:rsidTr="0029432C">
        <w:trPr>
          <w:trHeight w:val="584"/>
        </w:trPr>
        <w:tc>
          <w:tcPr>
            <w:tcW w:w="3512" w:type="dxa"/>
            <w:gridSpan w:val="2"/>
            <w:vAlign w:val="center"/>
          </w:tcPr>
          <w:p w:rsidR="005A23A0" w:rsidRPr="00D82633" w:rsidRDefault="005A23A0" w:rsidP="005A23A0">
            <w:pPr>
              <w:jc w:val="center"/>
              <w:rPr>
                <w:rFonts w:cstheme="minorHAnsi"/>
                <w:sz w:val="24"/>
                <w:szCs w:val="24"/>
              </w:rPr>
            </w:pPr>
            <w:r w:rsidRPr="00D82633">
              <w:rPr>
                <w:rFonts w:cstheme="minorHAnsi"/>
                <w:b/>
                <w:bCs/>
                <w:sz w:val="24"/>
                <w:szCs w:val="24"/>
              </w:rPr>
              <w:t>Faaliyetler</w:t>
            </w:r>
          </w:p>
        </w:tc>
        <w:tc>
          <w:tcPr>
            <w:tcW w:w="6588" w:type="dxa"/>
            <w:gridSpan w:val="6"/>
            <w:vAlign w:val="center"/>
          </w:tcPr>
          <w:p w:rsidR="005A23A0" w:rsidRPr="00D82633" w:rsidRDefault="005A23A0" w:rsidP="005A23A0">
            <w:pPr>
              <w:jc w:val="center"/>
              <w:rPr>
                <w:rFonts w:cstheme="minorHAnsi"/>
                <w:b/>
                <w:sz w:val="24"/>
                <w:szCs w:val="24"/>
              </w:rPr>
            </w:pPr>
            <w:r w:rsidRPr="00D82633">
              <w:rPr>
                <w:rFonts w:cstheme="minorHAnsi"/>
                <w:b/>
                <w:sz w:val="24"/>
                <w:szCs w:val="24"/>
              </w:rPr>
              <w:t>Hedefin Gerçekleşmesine Yönelik Belirlenen Faaliyetlerle İlgili Birimlerin Yapacağı Faaliyet Taahhütleri</w:t>
            </w:r>
          </w:p>
        </w:tc>
      </w:tr>
      <w:tr w:rsidR="005A23A0" w:rsidRPr="00520379" w:rsidTr="0029432C">
        <w:trPr>
          <w:trHeight w:val="955"/>
        </w:trPr>
        <w:tc>
          <w:tcPr>
            <w:tcW w:w="3512" w:type="dxa"/>
            <w:gridSpan w:val="2"/>
            <w:vAlign w:val="center"/>
          </w:tcPr>
          <w:p w:rsidR="005A23A0" w:rsidRPr="00D82633" w:rsidRDefault="00D55B3D" w:rsidP="005A23A0">
            <w:pPr>
              <w:jc w:val="both"/>
              <w:rPr>
                <w:rFonts w:cstheme="minorHAnsi"/>
                <w:sz w:val="24"/>
                <w:szCs w:val="24"/>
                <w:lang w:eastAsia="tr-TR"/>
              </w:rPr>
            </w:pPr>
            <w:r w:rsidRPr="00D55B3D">
              <w:rPr>
                <w:rFonts w:cstheme="minorHAnsi"/>
                <w:sz w:val="24"/>
                <w:szCs w:val="24"/>
                <w:lang w:eastAsia="tr-TR"/>
              </w:rPr>
              <w:t>Çeşitli disiplinlerde uluslararası endekslerde taranan ve etki faktörü yüksek süreli yayınlar çıkarılacaktır.</w:t>
            </w:r>
          </w:p>
        </w:tc>
        <w:tc>
          <w:tcPr>
            <w:tcW w:w="6588" w:type="dxa"/>
            <w:gridSpan w:val="6"/>
            <w:vAlign w:val="center"/>
          </w:tcPr>
          <w:p w:rsidR="005A23A0" w:rsidRPr="00D82633" w:rsidRDefault="0055577E" w:rsidP="005A23A0">
            <w:pPr>
              <w:jc w:val="both"/>
              <w:rPr>
                <w:rFonts w:cstheme="minorHAnsi"/>
                <w:sz w:val="24"/>
                <w:szCs w:val="24"/>
              </w:rPr>
            </w:pPr>
            <w:r>
              <w:rPr>
                <w:rFonts w:cstheme="minorHAnsi"/>
                <w:sz w:val="24"/>
                <w:szCs w:val="24"/>
              </w:rPr>
              <w:t>Merkezi Araştırma ve Uygulama Laboratuvarı akademik personeli tarafından 2018 yılı için 5 adet uluslararası endekslerde taranan yayın yapılması hedeflenmektedir.</w:t>
            </w:r>
          </w:p>
        </w:tc>
      </w:tr>
      <w:tr w:rsidR="005A23A0" w:rsidRPr="00520379" w:rsidTr="0029432C">
        <w:trPr>
          <w:trHeight w:val="320"/>
        </w:trPr>
        <w:tc>
          <w:tcPr>
            <w:tcW w:w="10100" w:type="dxa"/>
            <w:gridSpan w:val="8"/>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bCs/>
                <w:sz w:val="24"/>
                <w:szCs w:val="24"/>
              </w:rPr>
              <w:t>RİSK DEĞERLENDİRME</w:t>
            </w:r>
          </w:p>
        </w:tc>
      </w:tr>
      <w:tr w:rsidR="005A23A0" w:rsidRPr="00520379" w:rsidTr="0029432C">
        <w:trPr>
          <w:trHeight w:val="304"/>
        </w:trPr>
        <w:tc>
          <w:tcPr>
            <w:tcW w:w="3512"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Stratejik Planda Belirlenen Riskler</w:t>
            </w:r>
          </w:p>
        </w:tc>
        <w:tc>
          <w:tcPr>
            <w:tcW w:w="3234"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Kontrol Faaliyetleri</w:t>
            </w:r>
          </w:p>
        </w:tc>
        <w:tc>
          <w:tcPr>
            <w:tcW w:w="78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A23A0" w:rsidRPr="00D82633" w:rsidRDefault="005A23A0" w:rsidP="005A23A0">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A23A0" w:rsidRPr="00520379" w:rsidTr="0029432C">
        <w:trPr>
          <w:trHeight w:val="953"/>
        </w:trPr>
        <w:tc>
          <w:tcPr>
            <w:tcW w:w="3512" w:type="dxa"/>
            <w:gridSpan w:val="2"/>
            <w:vAlign w:val="center"/>
          </w:tcPr>
          <w:p w:rsidR="005A23A0" w:rsidRPr="006407BA" w:rsidRDefault="00D55B3D" w:rsidP="005A23A0">
            <w:pPr>
              <w:pStyle w:val="ListeParagraf"/>
              <w:tabs>
                <w:tab w:val="left" w:pos="0"/>
              </w:tabs>
              <w:spacing w:before="100"/>
              <w:ind w:left="0"/>
              <w:jc w:val="both"/>
              <w:rPr>
                <w:rFonts w:cstheme="minorHAnsi"/>
                <w:sz w:val="24"/>
                <w:szCs w:val="24"/>
                <w:lang w:eastAsia="tr-TR"/>
              </w:rPr>
            </w:pPr>
            <w:r w:rsidRPr="00D55B3D">
              <w:rPr>
                <w:rFonts w:cstheme="minorHAnsi"/>
                <w:sz w:val="24"/>
                <w:szCs w:val="24"/>
                <w:lang w:eastAsia="tr-TR"/>
              </w:rPr>
              <w:t>Bazı alanlarda uluslararası endekslerde yer alan dergi sayısının sınırlı olması</w:t>
            </w:r>
          </w:p>
        </w:tc>
        <w:tc>
          <w:tcPr>
            <w:tcW w:w="3234" w:type="dxa"/>
            <w:gridSpan w:val="2"/>
            <w:vAlign w:val="center"/>
          </w:tcPr>
          <w:p w:rsidR="005A23A0" w:rsidRPr="006407BA" w:rsidRDefault="00D55B3D" w:rsidP="005A23A0">
            <w:pPr>
              <w:pStyle w:val="ListeParagraf"/>
              <w:tabs>
                <w:tab w:val="left" w:pos="0"/>
              </w:tabs>
              <w:spacing w:before="100"/>
              <w:ind w:left="0"/>
              <w:jc w:val="both"/>
              <w:rPr>
                <w:rFonts w:cstheme="minorHAnsi"/>
                <w:sz w:val="24"/>
                <w:szCs w:val="24"/>
                <w:lang w:eastAsia="tr-TR"/>
              </w:rPr>
            </w:pPr>
            <w:r w:rsidRPr="00D55B3D">
              <w:rPr>
                <w:rFonts w:cstheme="minorHAnsi"/>
                <w:sz w:val="24"/>
                <w:szCs w:val="24"/>
                <w:lang w:eastAsia="tr-TR"/>
              </w:rPr>
              <w:t>Akademik çeviri ve redaksiyon biriminin oluşturulması</w:t>
            </w:r>
          </w:p>
        </w:tc>
        <w:tc>
          <w:tcPr>
            <w:tcW w:w="784" w:type="dxa"/>
            <w:vAlign w:val="center"/>
          </w:tcPr>
          <w:p w:rsidR="005A23A0" w:rsidRPr="00D82633" w:rsidRDefault="005A23A0" w:rsidP="005A23A0">
            <w:pPr>
              <w:jc w:val="center"/>
              <w:rPr>
                <w:rFonts w:asciiTheme="majorHAnsi" w:hAnsiTheme="majorHAnsi" w:cstheme="majorHAnsi"/>
                <w:sz w:val="16"/>
                <w:szCs w:val="16"/>
              </w:rPr>
            </w:pPr>
          </w:p>
        </w:tc>
        <w:tc>
          <w:tcPr>
            <w:tcW w:w="714" w:type="dxa"/>
            <w:vAlign w:val="center"/>
          </w:tcPr>
          <w:p w:rsidR="005A23A0" w:rsidRPr="00D82633" w:rsidRDefault="005A23A0" w:rsidP="005A23A0">
            <w:pPr>
              <w:jc w:val="center"/>
              <w:rPr>
                <w:rFonts w:asciiTheme="majorHAnsi" w:hAnsiTheme="majorHAnsi" w:cstheme="majorHAnsi"/>
                <w:sz w:val="16"/>
                <w:szCs w:val="16"/>
              </w:rPr>
            </w:pPr>
          </w:p>
        </w:tc>
        <w:tc>
          <w:tcPr>
            <w:tcW w:w="1276" w:type="dxa"/>
            <w:vAlign w:val="center"/>
          </w:tcPr>
          <w:p w:rsidR="005A23A0" w:rsidRPr="00D82633" w:rsidRDefault="005A23A0" w:rsidP="005A23A0">
            <w:pPr>
              <w:jc w:val="center"/>
              <w:rPr>
                <w:rFonts w:asciiTheme="majorHAnsi" w:hAnsiTheme="majorHAnsi" w:cstheme="majorHAnsi"/>
                <w:sz w:val="16"/>
                <w:szCs w:val="16"/>
              </w:rPr>
            </w:pPr>
          </w:p>
        </w:tc>
        <w:tc>
          <w:tcPr>
            <w:tcW w:w="580" w:type="dxa"/>
            <w:vAlign w:val="center"/>
          </w:tcPr>
          <w:p w:rsidR="005A23A0" w:rsidRPr="00D82633" w:rsidRDefault="005A23A0" w:rsidP="005A23A0">
            <w:pPr>
              <w:jc w:val="center"/>
              <w:rPr>
                <w:rFonts w:asciiTheme="majorHAnsi" w:hAnsiTheme="majorHAnsi" w:cstheme="majorHAnsi"/>
                <w:sz w:val="16"/>
                <w:szCs w:val="16"/>
              </w:rPr>
            </w:pPr>
          </w:p>
        </w:tc>
      </w:tr>
      <w:tr w:rsidR="005A23A0" w:rsidRPr="00520379" w:rsidTr="0029432C">
        <w:trPr>
          <w:trHeight w:val="953"/>
        </w:trPr>
        <w:tc>
          <w:tcPr>
            <w:tcW w:w="3512" w:type="dxa"/>
            <w:gridSpan w:val="2"/>
            <w:vAlign w:val="center"/>
          </w:tcPr>
          <w:p w:rsidR="005A23A0" w:rsidRPr="006407BA" w:rsidRDefault="00D55B3D" w:rsidP="005A23A0">
            <w:pPr>
              <w:pStyle w:val="ListeParagraf"/>
              <w:tabs>
                <w:tab w:val="left" w:pos="0"/>
              </w:tabs>
              <w:spacing w:before="100"/>
              <w:ind w:left="0"/>
              <w:jc w:val="both"/>
              <w:rPr>
                <w:rFonts w:cstheme="minorHAnsi"/>
                <w:sz w:val="24"/>
                <w:szCs w:val="24"/>
                <w:lang w:eastAsia="tr-TR"/>
              </w:rPr>
            </w:pPr>
            <w:r w:rsidRPr="00D55B3D">
              <w:rPr>
                <w:rFonts w:cstheme="minorHAnsi"/>
                <w:sz w:val="24"/>
                <w:szCs w:val="24"/>
                <w:lang w:eastAsia="tr-TR"/>
              </w:rPr>
              <w:t>Nitelikli personel eksikliğinin olması</w:t>
            </w:r>
          </w:p>
        </w:tc>
        <w:tc>
          <w:tcPr>
            <w:tcW w:w="3234" w:type="dxa"/>
            <w:gridSpan w:val="2"/>
            <w:vAlign w:val="center"/>
          </w:tcPr>
          <w:p w:rsidR="005A23A0" w:rsidRPr="006407BA" w:rsidRDefault="00D55B3D" w:rsidP="005A23A0">
            <w:pPr>
              <w:pStyle w:val="ListeParagraf"/>
              <w:tabs>
                <w:tab w:val="left" w:pos="0"/>
              </w:tabs>
              <w:spacing w:before="100"/>
              <w:ind w:left="0"/>
              <w:jc w:val="both"/>
              <w:rPr>
                <w:rFonts w:cstheme="minorHAnsi"/>
                <w:sz w:val="24"/>
                <w:szCs w:val="24"/>
                <w:lang w:eastAsia="tr-TR"/>
              </w:rPr>
            </w:pPr>
            <w:r w:rsidRPr="00D55B3D">
              <w:rPr>
                <w:rFonts w:cstheme="minorHAnsi"/>
                <w:sz w:val="24"/>
                <w:szCs w:val="24"/>
                <w:lang w:eastAsia="tr-TR"/>
              </w:rPr>
              <w:t>Yayın hazırlama ile ilgili eğitimlerin verilmesi</w:t>
            </w:r>
          </w:p>
        </w:tc>
        <w:tc>
          <w:tcPr>
            <w:tcW w:w="784" w:type="dxa"/>
            <w:vAlign w:val="center"/>
          </w:tcPr>
          <w:p w:rsidR="005A23A0" w:rsidRPr="00D82633" w:rsidRDefault="005A23A0" w:rsidP="005A23A0">
            <w:pPr>
              <w:jc w:val="center"/>
              <w:rPr>
                <w:rFonts w:asciiTheme="majorHAnsi" w:hAnsiTheme="majorHAnsi" w:cstheme="majorHAnsi"/>
                <w:sz w:val="16"/>
                <w:szCs w:val="16"/>
              </w:rPr>
            </w:pPr>
          </w:p>
        </w:tc>
        <w:tc>
          <w:tcPr>
            <w:tcW w:w="714" w:type="dxa"/>
            <w:vAlign w:val="center"/>
          </w:tcPr>
          <w:p w:rsidR="005A23A0" w:rsidRPr="00D82633" w:rsidRDefault="005A23A0" w:rsidP="005A23A0">
            <w:pPr>
              <w:jc w:val="center"/>
              <w:rPr>
                <w:rFonts w:asciiTheme="majorHAnsi" w:hAnsiTheme="majorHAnsi" w:cstheme="majorHAnsi"/>
                <w:sz w:val="16"/>
                <w:szCs w:val="16"/>
              </w:rPr>
            </w:pPr>
          </w:p>
        </w:tc>
        <w:tc>
          <w:tcPr>
            <w:tcW w:w="1276" w:type="dxa"/>
            <w:vAlign w:val="center"/>
          </w:tcPr>
          <w:p w:rsidR="005A23A0" w:rsidRPr="00D82633" w:rsidRDefault="005A23A0" w:rsidP="005A23A0">
            <w:pPr>
              <w:jc w:val="center"/>
              <w:rPr>
                <w:rFonts w:asciiTheme="majorHAnsi" w:hAnsiTheme="majorHAnsi" w:cstheme="majorHAnsi"/>
                <w:sz w:val="16"/>
                <w:szCs w:val="16"/>
              </w:rPr>
            </w:pPr>
          </w:p>
        </w:tc>
        <w:tc>
          <w:tcPr>
            <w:tcW w:w="580" w:type="dxa"/>
            <w:vAlign w:val="center"/>
          </w:tcPr>
          <w:p w:rsidR="005A23A0" w:rsidRPr="00D82633" w:rsidRDefault="005A23A0" w:rsidP="005A23A0">
            <w:pPr>
              <w:jc w:val="center"/>
              <w:rPr>
                <w:rFonts w:asciiTheme="majorHAnsi" w:hAnsiTheme="majorHAnsi" w:cstheme="majorHAnsi"/>
                <w:sz w:val="16"/>
                <w:szCs w:val="16"/>
              </w:rPr>
            </w:pPr>
          </w:p>
        </w:tc>
      </w:tr>
      <w:tr w:rsidR="005A23A0" w:rsidRPr="00520379" w:rsidTr="0029432C">
        <w:trPr>
          <w:trHeight w:val="207"/>
        </w:trPr>
        <w:tc>
          <w:tcPr>
            <w:tcW w:w="3512" w:type="dxa"/>
            <w:gridSpan w:val="2"/>
            <w:vAlign w:val="center"/>
          </w:tcPr>
          <w:p w:rsidR="005A23A0" w:rsidRPr="00D82633" w:rsidRDefault="005A23A0" w:rsidP="005A23A0">
            <w:pPr>
              <w:jc w:val="center"/>
              <w:rPr>
                <w:rFonts w:asciiTheme="majorHAnsi" w:hAnsiTheme="majorHAnsi" w:cstheme="majorHAnsi"/>
                <w:b/>
                <w:sz w:val="24"/>
                <w:szCs w:val="24"/>
              </w:rPr>
            </w:pPr>
            <w:r w:rsidRPr="00D82633">
              <w:rPr>
                <w:rFonts w:asciiTheme="majorHAnsi" w:hAnsiTheme="majorHAnsi" w:cstheme="majorHAnsi"/>
                <w:b/>
                <w:sz w:val="24"/>
                <w:szCs w:val="24"/>
              </w:rPr>
              <w:t>Birim Riskleri</w:t>
            </w:r>
          </w:p>
        </w:tc>
        <w:tc>
          <w:tcPr>
            <w:tcW w:w="3234" w:type="dxa"/>
            <w:gridSpan w:val="2"/>
            <w:vAlign w:val="center"/>
          </w:tcPr>
          <w:p w:rsidR="005A23A0" w:rsidRPr="00D82633" w:rsidRDefault="005A23A0" w:rsidP="005A23A0">
            <w:pPr>
              <w:tabs>
                <w:tab w:val="left" w:pos="269"/>
                <w:tab w:val="left" w:pos="694"/>
                <w:tab w:val="left" w:pos="836"/>
              </w:tabs>
              <w:spacing w:before="100"/>
              <w:jc w:val="center"/>
              <w:rPr>
                <w:rFonts w:asciiTheme="majorHAnsi" w:hAnsiTheme="majorHAnsi" w:cstheme="majorHAnsi"/>
                <w:b/>
                <w:sz w:val="24"/>
                <w:szCs w:val="24"/>
              </w:rPr>
            </w:pPr>
            <w:r>
              <w:rPr>
                <w:rFonts w:asciiTheme="majorHAnsi" w:hAnsiTheme="majorHAnsi" w:cstheme="majorHAnsi"/>
                <w:b/>
                <w:sz w:val="24"/>
                <w:szCs w:val="24"/>
              </w:rPr>
              <w:t>Birim Kontrol Faaliyetleri</w:t>
            </w:r>
          </w:p>
        </w:tc>
        <w:tc>
          <w:tcPr>
            <w:tcW w:w="78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Şiddet</w:t>
            </w:r>
          </w:p>
        </w:tc>
        <w:tc>
          <w:tcPr>
            <w:tcW w:w="714"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Olasılık</w:t>
            </w:r>
          </w:p>
        </w:tc>
        <w:tc>
          <w:tcPr>
            <w:tcW w:w="1276" w:type="dxa"/>
            <w:vAlign w:val="center"/>
          </w:tcPr>
          <w:p w:rsidR="005A23A0" w:rsidRPr="00D82633" w:rsidRDefault="005A23A0" w:rsidP="005A23A0">
            <w:pPr>
              <w:jc w:val="center"/>
              <w:rPr>
                <w:rFonts w:asciiTheme="majorHAnsi" w:hAnsiTheme="majorHAnsi" w:cstheme="majorHAnsi"/>
                <w:b/>
                <w:sz w:val="16"/>
                <w:szCs w:val="16"/>
              </w:rPr>
            </w:pPr>
            <w:proofErr w:type="spellStart"/>
            <w:r w:rsidRPr="00D82633">
              <w:rPr>
                <w:rFonts w:asciiTheme="majorHAnsi" w:hAnsiTheme="majorHAnsi" w:cstheme="majorHAnsi"/>
                <w:b/>
                <w:sz w:val="16"/>
                <w:szCs w:val="16"/>
              </w:rPr>
              <w:t>Saptanabilirlik</w:t>
            </w:r>
            <w:proofErr w:type="spellEnd"/>
          </w:p>
        </w:tc>
        <w:tc>
          <w:tcPr>
            <w:tcW w:w="580" w:type="dxa"/>
            <w:vAlign w:val="center"/>
          </w:tcPr>
          <w:p w:rsidR="005A23A0" w:rsidRPr="00D82633" w:rsidRDefault="005A23A0" w:rsidP="005A23A0">
            <w:pPr>
              <w:jc w:val="center"/>
              <w:rPr>
                <w:rFonts w:asciiTheme="majorHAnsi" w:hAnsiTheme="majorHAnsi" w:cstheme="majorHAnsi"/>
                <w:b/>
                <w:sz w:val="16"/>
                <w:szCs w:val="16"/>
              </w:rPr>
            </w:pPr>
            <w:r w:rsidRPr="00D82633">
              <w:rPr>
                <w:rFonts w:asciiTheme="majorHAnsi" w:hAnsiTheme="majorHAnsi" w:cstheme="majorHAnsi"/>
                <w:b/>
                <w:sz w:val="16"/>
                <w:szCs w:val="16"/>
              </w:rPr>
              <w:t>RÖS</w:t>
            </w:r>
          </w:p>
        </w:tc>
      </w:tr>
      <w:tr w:rsidR="005A23A0" w:rsidRPr="00520379" w:rsidTr="0029432C">
        <w:trPr>
          <w:trHeight w:val="1590"/>
        </w:trPr>
        <w:tc>
          <w:tcPr>
            <w:tcW w:w="3512" w:type="dxa"/>
            <w:gridSpan w:val="2"/>
            <w:vAlign w:val="center"/>
          </w:tcPr>
          <w:p w:rsidR="005A23A0" w:rsidRPr="00D82633" w:rsidRDefault="0055577E" w:rsidP="005A23A0">
            <w:pPr>
              <w:jc w:val="both"/>
              <w:rPr>
                <w:rFonts w:asciiTheme="majorHAnsi" w:hAnsiTheme="majorHAnsi" w:cstheme="majorHAnsi"/>
                <w:color w:val="FF0000"/>
                <w:sz w:val="24"/>
                <w:szCs w:val="24"/>
              </w:rPr>
            </w:pPr>
            <w:r w:rsidRPr="0055577E">
              <w:rPr>
                <w:rFonts w:asciiTheme="majorHAnsi" w:hAnsiTheme="majorHAnsi" w:cstheme="majorHAnsi"/>
                <w:color w:val="000000" w:themeColor="text1"/>
                <w:sz w:val="24"/>
                <w:szCs w:val="24"/>
              </w:rPr>
              <w:t>Arkeoloji alanında uluslararası endekslerde yer alan dergi sayısının sınırlı olması.</w:t>
            </w:r>
          </w:p>
        </w:tc>
        <w:tc>
          <w:tcPr>
            <w:tcW w:w="3234" w:type="dxa"/>
            <w:gridSpan w:val="2"/>
            <w:vAlign w:val="center"/>
          </w:tcPr>
          <w:p w:rsidR="005A23A0" w:rsidRPr="0055577E" w:rsidRDefault="0055577E" w:rsidP="005A23A0">
            <w:pPr>
              <w:tabs>
                <w:tab w:val="left" w:pos="269"/>
                <w:tab w:val="left" w:pos="694"/>
                <w:tab w:val="left" w:pos="836"/>
              </w:tabs>
              <w:spacing w:before="100"/>
              <w:jc w:val="both"/>
              <w:rPr>
                <w:rFonts w:asciiTheme="majorHAnsi" w:hAnsiTheme="majorHAnsi" w:cstheme="majorHAnsi"/>
                <w:color w:val="000000" w:themeColor="text1"/>
                <w:sz w:val="24"/>
                <w:szCs w:val="24"/>
              </w:rPr>
            </w:pPr>
            <w:r w:rsidRPr="0055577E">
              <w:rPr>
                <w:rFonts w:asciiTheme="majorHAnsi" w:hAnsiTheme="majorHAnsi" w:cstheme="majorHAnsi"/>
                <w:color w:val="000000" w:themeColor="text1"/>
                <w:sz w:val="24"/>
                <w:szCs w:val="24"/>
              </w:rPr>
              <w:t>Çalışmaların çeşitli disiplinlerle ilişkilendirilmesi</w:t>
            </w:r>
          </w:p>
          <w:p w:rsidR="0055577E" w:rsidRPr="00D82633" w:rsidRDefault="0055577E" w:rsidP="005A23A0">
            <w:pPr>
              <w:tabs>
                <w:tab w:val="left" w:pos="269"/>
                <w:tab w:val="left" w:pos="694"/>
                <w:tab w:val="left" w:pos="836"/>
              </w:tabs>
              <w:spacing w:before="100"/>
              <w:jc w:val="both"/>
              <w:rPr>
                <w:rFonts w:asciiTheme="majorHAnsi" w:hAnsiTheme="majorHAnsi" w:cstheme="majorHAnsi"/>
                <w:sz w:val="24"/>
                <w:szCs w:val="24"/>
              </w:rPr>
            </w:pPr>
          </w:p>
        </w:tc>
        <w:tc>
          <w:tcPr>
            <w:tcW w:w="784" w:type="dxa"/>
            <w:vAlign w:val="center"/>
          </w:tcPr>
          <w:p w:rsidR="005A23A0" w:rsidRPr="0055577E" w:rsidRDefault="005A23A0" w:rsidP="005A23A0">
            <w:pPr>
              <w:rPr>
                <w:rFonts w:asciiTheme="majorHAnsi" w:hAnsiTheme="majorHAnsi" w:cstheme="majorHAnsi"/>
                <w:b/>
                <w:color w:val="000000" w:themeColor="text1"/>
                <w:sz w:val="16"/>
                <w:szCs w:val="16"/>
              </w:rPr>
            </w:pPr>
          </w:p>
          <w:p w:rsidR="005A23A0" w:rsidRPr="0055577E" w:rsidRDefault="0055577E" w:rsidP="0055577E">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4</w:t>
            </w:r>
          </w:p>
        </w:tc>
        <w:tc>
          <w:tcPr>
            <w:tcW w:w="714" w:type="dxa"/>
            <w:vAlign w:val="center"/>
          </w:tcPr>
          <w:p w:rsidR="0055577E" w:rsidRPr="0055577E" w:rsidRDefault="0055577E" w:rsidP="0055577E">
            <w:pPr>
              <w:jc w:val="center"/>
              <w:rPr>
                <w:rFonts w:asciiTheme="majorHAnsi" w:hAnsiTheme="majorHAnsi" w:cstheme="majorHAnsi"/>
                <w:color w:val="000000" w:themeColor="text1"/>
                <w:sz w:val="16"/>
                <w:szCs w:val="16"/>
              </w:rPr>
            </w:pPr>
          </w:p>
          <w:p w:rsidR="005A23A0" w:rsidRPr="0055577E" w:rsidRDefault="0055577E" w:rsidP="0055577E">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4</w:t>
            </w:r>
          </w:p>
        </w:tc>
        <w:tc>
          <w:tcPr>
            <w:tcW w:w="1276" w:type="dxa"/>
            <w:vAlign w:val="center"/>
          </w:tcPr>
          <w:p w:rsidR="0055577E" w:rsidRPr="0055577E" w:rsidRDefault="0055577E" w:rsidP="0055577E">
            <w:pPr>
              <w:rPr>
                <w:rFonts w:asciiTheme="majorHAnsi" w:hAnsiTheme="majorHAnsi" w:cstheme="majorHAnsi"/>
                <w:color w:val="000000" w:themeColor="text1"/>
                <w:sz w:val="16"/>
                <w:szCs w:val="16"/>
              </w:rPr>
            </w:pPr>
          </w:p>
          <w:p w:rsidR="0055577E" w:rsidRPr="0055577E" w:rsidRDefault="0055577E" w:rsidP="0055577E">
            <w:pPr>
              <w:rPr>
                <w:rFonts w:asciiTheme="majorHAnsi" w:hAnsiTheme="majorHAnsi" w:cstheme="majorHAnsi"/>
                <w:color w:val="000000" w:themeColor="text1"/>
                <w:sz w:val="16"/>
                <w:szCs w:val="16"/>
              </w:rPr>
            </w:pPr>
          </w:p>
          <w:p w:rsidR="0055577E" w:rsidRPr="0055577E" w:rsidRDefault="0055577E" w:rsidP="0055577E">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2</w:t>
            </w:r>
          </w:p>
          <w:p w:rsidR="005A23A0" w:rsidRPr="0055577E" w:rsidRDefault="005A23A0" w:rsidP="005A23A0">
            <w:pPr>
              <w:jc w:val="center"/>
              <w:rPr>
                <w:rFonts w:asciiTheme="majorHAnsi" w:hAnsiTheme="majorHAnsi" w:cstheme="majorHAnsi"/>
                <w:color w:val="000000" w:themeColor="text1"/>
                <w:sz w:val="16"/>
                <w:szCs w:val="16"/>
              </w:rPr>
            </w:pPr>
          </w:p>
        </w:tc>
        <w:tc>
          <w:tcPr>
            <w:tcW w:w="580" w:type="dxa"/>
            <w:vAlign w:val="center"/>
          </w:tcPr>
          <w:p w:rsidR="005A23A0" w:rsidRPr="0055577E" w:rsidRDefault="0055577E" w:rsidP="005A23A0">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32</w:t>
            </w:r>
          </w:p>
        </w:tc>
      </w:tr>
      <w:tr w:rsidR="005A23A0" w:rsidRPr="00520379" w:rsidTr="0029432C">
        <w:trPr>
          <w:trHeight w:val="1328"/>
        </w:trPr>
        <w:tc>
          <w:tcPr>
            <w:tcW w:w="3512" w:type="dxa"/>
            <w:gridSpan w:val="2"/>
            <w:vAlign w:val="center"/>
          </w:tcPr>
          <w:p w:rsidR="005A23A0" w:rsidRPr="00D82633" w:rsidRDefault="0055577E" w:rsidP="005A23A0">
            <w:pPr>
              <w:jc w:val="both"/>
              <w:rPr>
                <w:rFonts w:asciiTheme="majorHAnsi" w:hAnsiTheme="majorHAnsi" w:cstheme="majorHAnsi"/>
                <w:color w:val="FF0000"/>
                <w:sz w:val="24"/>
                <w:szCs w:val="24"/>
              </w:rPr>
            </w:pPr>
            <w:r w:rsidRPr="0055577E">
              <w:rPr>
                <w:rFonts w:asciiTheme="majorHAnsi" w:hAnsiTheme="majorHAnsi" w:cstheme="majorHAnsi"/>
                <w:color w:val="000000" w:themeColor="text1"/>
                <w:sz w:val="24"/>
                <w:szCs w:val="24"/>
              </w:rPr>
              <w:t>Birim iş yükünün fazla olması</w:t>
            </w:r>
          </w:p>
        </w:tc>
        <w:tc>
          <w:tcPr>
            <w:tcW w:w="3234" w:type="dxa"/>
            <w:gridSpan w:val="2"/>
            <w:vAlign w:val="center"/>
          </w:tcPr>
          <w:p w:rsidR="005A23A0" w:rsidRPr="00D82633" w:rsidRDefault="0055577E" w:rsidP="0055577E">
            <w:pPr>
              <w:tabs>
                <w:tab w:val="left" w:pos="269"/>
                <w:tab w:val="left" w:pos="694"/>
                <w:tab w:val="left" w:pos="836"/>
              </w:tabs>
              <w:spacing w:before="100"/>
              <w:jc w:val="both"/>
              <w:rPr>
                <w:rFonts w:asciiTheme="majorHAnsi" w:hAnsiTheme="majorHAnsi" w:cstheme="majorHAnsi"/>
                <w:sz w:val="24"/>
                <w:szCs w:val="24"/>
              </w:rPr>
            </w:pPr>
            <w:r w:rsidRPr="0055577E">
              <w:rPr>
                <w:rFonts w:asciiTheme="majorHAnsi" w:hAnsiTheme="majorHAnsi" w:cstheme="majorHAnsi"/>
                <w:color w:val="000000" w:themeColor="text1"/>
                <w:sz w:val="24"/>
                <w:szCs w:val="24"/>
              </w:rPr>
              <w:t>İdari ve Akademik personel sayısının arttırılması</w:t>
            </w:r>
          </w:p>
        </w:tc>
        <w:tc>
          <w:tcPr>
            <w:tcW w:w="784" w:type="dxa"/>
            <w:vAlign w:val="center"/>
          </w:tcPr>
          <w:p w:rsidR="005A23A0" w:rsidRPr="0055577E" w:rsidRDefault="005A23A0" w:rsidP="005A23A0">
            <w:pPr>
              <w:rPr>
                <w:rFonts w:asciiTheme="majorHAnsi" w:hAnsiTheme="majorHAnsi" w:cstheme="majorHAnsi"/>
                <w:b/>
                <w:color w:val="000000" w:themeColor="text1"/>
                <w:sz w:val="16"/>
                <w:szCs w:val="16"/>
              </w:rPr>
            </w:pPr>
          </w:p>
          <w:p w:rsidR="0055577E" w:rsidRPr="0055577E" w:rsidRDefault="0055577E" w:rsidP="0055577E">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3</w:t>
            </w:r>
          </w:p>
          <w:p w:rsidR="005A23A0" w:rsidRPr="0055577E" w:rsidRDefault="005A23A0" w:rsidP="005A23A0">
            <w:pPr>
              <w:jc w:val="center"/>
              <w:rPr>
                <w:rFonts w:asciiTheme="majorHAnsi" w:hAnsiTheme="majorHAnsi" w:cstheme="majorHAnsi"/>
                <w:color w:val="000000" w:themeColor="text1"/>
                <w:sz w:val="16"/>
                <w:szCs w:val="16"/>
              </w:rPr>
            </w:pPr>
          </w:p>
        </w:tc>
        <w:tc>
          <w:tcPr>
            <w:tcW w:w="714" w:type="dxa"/>
            <w:vAlign w:val="center"/>
          </w:tcPr>
          <w:p w:rsidR="005A23A0" w:rsidRPr="0055577E" w:rsidRDefault="0055577E" w:rsidP="0055577E">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3</w:t>
            </w:r>
          </w:p>
        </w:tc>
        <w:tc>
          <w:tcPr>
            <w:tcW w:w="1276" w:type="dxa"/>
            <w:vAlign w:val="center"/>
          </w:tcPr>
          <w:p w:rsidR="005A23A0" w:rsidRPr="0055577E" w:rsidRDefault="0055577E" w:rsidP="005A23A0">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2</w:t>
            </w:r>
          </w:p>
        </w:tc>
        <w:tc>
          <w:tcPr>
            <w:tcW w:w="580" w:type="dxa"/>
            <w:vAlign w:val="center"/>
          </w:tcPr>
          <w:p w:rsidR="005A23A0" w:rsidRPr="0055577E" w:rsidRDefault="0055577E" w:rsidP="005A23A0">
            <w:pPr>
              <w:jc w:val="center"/>
              <w:rPr>
                <w:rFonts w:asciiTheme="majorHAnsi" w:hAnsiTheme="majorHAnsi" w:cstheme="majorHAnsi"/>
                <w:color w:val="000000" w:themeColor="text1"/>
                <w:sz w:val="16"/>
                <w:szCs w:val="16"/>
              </w:rPr>
            </w:pPr>
            <w:r w:rsidRPr="0055577E">
              <w:rPr>
                <w:rFonts w:asciiTheme="majorHAnsi" w:hAnsiTheme="majorHAnsi" w:cstheme="majorHAnsi"/>
                <w:color w:val="000000" w:themeColor="text1"/>
                <w:sz w:val="16"/>
                <w:szCs w:val="16"/>
              </w:rPr>
              <w:t>18</w:t>
            </w:r>
          </w:p>
        </w:tc>
      </w:tr>
    </w:tbl>
    <w:p w:rsidR="003D2D32" w:rsidRPr="00520379" w:rsidRDefault="003D2D32" w:rsidP="003D2D32">
      <w:pPr>
        <w:rPr>
          <w:rFonts w:cstheme="minorHAnsi"/>
        </w:rPr>
      </w:pPr>
      <w:bookmarkStart w:id="0" w:name="_GoBack"/>
      <w:bookmarkEnd w:id="0"/>
    </w:p>
    <w:p w:rsidR="00C05B9A" w:rsidRPr="00A01059" w:rsidRDefault="003D2D32" w:rsidP="00A01059">
      <w:pPr>
        <w:ind w:left="-567"/>
        <w:rPr>
          <w:rFonts w:cstheme="minorHAnsi"/>
          <w:sz w:val="20"/>
          <w:szCs w:val="20"/>
        </w:rPr>
      </w:pPr>
      <w:r w:rsidRPr="00D82633">
        <w:rPr>
          <w:rFonts w:cstheme="minorHAnsi"/>
          <w:sz w:val="20"/>
          <w:szCs w:val="20"/>
        </w:rPr>
        <w:t xml:space="preserve">* Şiddet Değeri x Olasılık Değeri x </w:t>
      </w:r>
      <w:proofErr w:type="spellStart"/>
      <w:r w:rsidRPr="00D82633">
        <w:rPr>
          <w:rFonts w:cstheme="minorHAnsi"/>
          <w:sz w:val="20"/>
          <w:szCs w:val="20"/>
        </w:rPr>
        <w:t>Saptanabilirlik</w:t>
      </w:r>
      <w:proofErr w:type="spellEnd"/>
      <w:r w:rsidRPr="00D82633">
        <w:rPr>
          <w:rFonts w:cstheme="minorHAnsi"/>
          <w:sz w:val="20"/>
          <w:szCs w:val="20"/>
        </w:rPr>
        <w:t xml:space="preserve"> Değeri sonucu yazılmalıdır. </w:t>
      </w:r>
    </w:p>
    <w:sectPr w:rsidR="00C05B9A" w:rsidRPr="00A01059" w:rsidSect="00D8263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2"/>
    <w:rsid w:val="00001046"/>
    <w:rsid w:val="003D2D32"/>
    <w:rsid w:val="004543F9"/>
    <w:rsid w:val="0055577E"/>
    <w:rsid w:val="005A23A0"/>
    <w:rsid w:val="006407BA"/>
    <w:rsid w:val="006454DE"/>
    <w:rsid w:val="006830E1"/>
    <w:rsid w:val="00A01059"/>
    <w:rsid w:val="00C05B9A"/>
    <w:rsid w:val="00D55B3D"/>
    <w:rsid w:val="00D84E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A6AA-AFC3-4DA9-A4B2-E373FCE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32"/>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2D3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D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Yılmaz</dc:creator>
  <cp:keywords/>
  <dc:description/>
  <cp:lastModifiedBy>Pc</cp:lastModifiedBy>
  <cp:revision>2</cp:revision>
  <dcterms:created xsi:type="dcterms:W3CDTF">2018-01-17T11:27:00Z</dcterms:created>
  <dcterms:modified xsi:type="dcterms:W3CDTF">2018-01-17T11:27:00Z</dcterms:modified>
</cp:coreProperties>
</file>