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20" w:rsidRPr="006D487D" w:rsidRDefault="00175C20" w:rsidP="00175C20">
      <w:pPr>
        <w:spacing w:before="120" w:after="120"/>
        <w:ind w:firstLine="900"/>
        <w:jc w:val="both"/>
        <w:rPr>
          <w:color w:val="3F4037"/>
        </w:rPr>
      </w:pPr>
      <w:bookmarkStart w:id="0" w:name="_GoBack"/>
      <w:r w:rsidRPr="006D487D">
        <w:rPr>
          <w:b/>
          <w:color w:val="3F4037"/>
        </w:rPr>
        <w:t>3) Ertesi Yıla Geçen Yüklenme ve Gelecek Yıllara Yaygın Yüklenmeler:</w:t>
      </w:r>
    </w:p>
    <w:bookmarkEnd w:id="0"/>
    <w:p w:rsidR="00175C20" w:rsidRPr="006D487D" w:rsidRDefault="00175C20" w:rsidP="00175C20">
      <w:pPr>
        <w:spacing w:before="120" w:after="120"/>
        <w:ind w:firstLine="902"/>
        <w:jc w:val="both"/>
        <w:rPr>
          <w:color w:val="3F4037"/>
        </w:rPr>
      </w:pPr>
      <w:r w:rsidRPr="006D487D">
        <w:rPr>
          <w:b/>
          <w:color w:val="3F4037"/>
        </w:rPr>
        <w:t>a)</w:t>
      </w:r>
      <w:r w:rsidRPr="006D487D">
        <w:rPr>
          <w:color w:val="3F4037"/>
        </w:rPr>
        <w:t xml:space="preserve"> 5538 sayılı Bütçe Kanunlarında Yer Alan Bazı Hükümlerin İlgili Kanun ve Kanun Hükmünde Kararnamelere Eklenmesi ve Bazı Kanun ve Kanun Hükmünde Kararnamelerde Değişiklik Yapılmasına Dair Kanun’un 4’üncü maddesi </w:t>
      </w:r>
      <w:proofErr w:type="gramStart"/>
      <w:r w:rsidRPr="006D487D">
        <w:rPr>
          <w:color w:val="3F4037"/>
        </w:rPr>
        <w:t>ile,</w:t>
      </w:r>
      <w:proofErr w:type="gramEnd"/>
      <w:r w:rsidRPr="006D487D">
        <w:rPr>
          <w:color w:val="3F4037"/>
        </w:rPr>
        <w:t xml:space="preserve"> 527 sayılı Gelecek Yıllara Geçen Yüklenmelere Dair Kanun, 01.01.2006 tarihinden itibaren geçerli olmak üzere 12.07.2006 tarihinde yürürlükten kaldırılmıştır.</w:t>
      </w:r>
    </w:p>
    <w:p w:rsidR="00175C20" w:rsidRPr="006D487D" w:rsidRDefault="00175C20" w:rsidP="00175C20">
      <w:pPr>
        <w:spacing w:before="120" w:after="120"/>
        <w:ind w:firstLine="902"/>
        <w:jc w:val="both"/>
        <w:rPr>
          <w:color w:val="3F4037"/>
        </w:rPr>
      </w:pPr>
      <w:r w:rsidRPr="006D487D">
        <w:rPr>
          <w:color w:val="3F4037"/>
        </w:rPr>
        <w:t xml:space="preserve">Bu nedenle, 2006 Yılı Yatırım Programına ek Bakanlığımız yatırımlarından yıllara </w:t>
      </w:r>
      <w:proofErr w:type="gramStart"/>
      <w:r w:rsidRPr="006D487D">
        <w:rPr>
          <w:color w:val="3F4037"/>
        </w:rPr>
        <w:t>sari</w:t>
      </w:r>
      <w:proofErr w:type="gramEnd"/>
      <w:r w:rsidRPr="006D487D">
        <w:rPr>
          <w:color w:val="3F4037"/>
        </w:rPr>
        <w:t xml:space="preserve"> olarak yer alan projelere veya işlere ilişkin olarak sari ihaleye çıkabilmek için Devlet Planlama Teşkilatı Müsteşarlığından “Sari Taahhüt Yetki Belgesi” alınmasına gerek bulunmamaktadır.</w:t>
      </w:r>
    </w:p>
    <w:p w:rsidR="00175C20" w:rsidRPr="006D487D" w:rsidRDefault="00175C20" w:rsidP="00175C20">
      <w:pPr>
        <w:spacing w:before="120" w:after="120"/>
        <w:ind w:firstLine="902"/>
        <w:jc w:val="both"/>
        <w:rPr>
          <w:color w:val="3F4037"/>
        </w:rPr>
      </w:pPr>
      <w:proofErr w:type="gramStart"/>
      <w:r w:rsidRPr="006D487D">
        <w:rPr>
          <w:b/>
          <w:color w:val="3F4037"/>
        </w:rPr>
        <w:t>b)</w:t>
      </w:r>
      <w:r w:rsidRPr="006D487D">
        <w:rPr>
          <w:color w:val="3F4037"/>
        </w:rPr>
        <w:t xml:space="preserve"> 5018 sayılı Kanun’un 27’nci maddesinde sayılan; niteliğinden dolayı mali yılla sınırlı tutulamayan ve sürekliliği bulunan iş ve hizmetlerden yiyecek, yakacak, akaryakıt ve madeni yağ ihtiyaçları, taşıtların mali sorumluluk sigortası ile makine-teçhizat, yol ve otoyol, bilgisayar ve haberleşme sistemlerinin bakım işleri, her türlü onarım işleri ve elektronik bilgi erişim hizmetleri için </w:t>
      </w:r>
      <w:r w:rsidRPr="006D487D">
        <w:rPr>
          <w:b/>
          <w:color w:val="3F4037"/>
        </w:rPr>
        <w:t>her iş itibarıyla</w:t>
      </w:r>
      <w:r w:rsidRPr="006D487D">
        <w:rPr>
          <w:color w:val="3F4037"/>
        </w:rPr>
        <w:t xml:space="preserve">, bütçede öngörülen ödeneklerin </w:t>
      </w:r>
      <w:r w:rsidRPr="006D487D">
        <w:rPr>
          <w:b/>
          <w:color w:val="3F4037"/>
        </w:rPr>
        <w:t>yüzde ellisini</w:t>
      </w:r>
      <w:r w:rsidRPr="006D487D">
        <w:rPr>
          <w:color w:val="3F4037"/>
        </w:rPr>
        <w:t xml:space="preserve">, </w:t>
      </w:r>
      <w:r w:rsidRPr="006D487D">
        <w:rPr>
          <w:b/>
          <w:color w:val="3F4037"/>
        </w:rPr>
        <w:t>izleyen</w:t>
      </w:r>
      <w:r w:rsidRPr="006D487D">
        <w:rPr>
          <w:color w:val="3F4037"/>
        </w:rPr>
        <w:t xml:space="preserve"> </w:t>
      </w:r>
      <w:r w:rsidRPr="006D487D">
        <w:rPr>
          <w:b/>
          <w:color w:val="3F4037"/>
        </w:rPr>
        <w:t>yılın Haziran ayını geçmemek ve yüklenme süresi on iki ayı aşmamak üzere, üst</w:t>
      </w:r>
      <w:r w:rsidRPr="006D487D">
        <w:rPr>
          <w:color w:val="3F4037"/>
        </w:rPr>
        <w:t xml:space="preserve"> </w:t>
      </w:r>
      <w:r w:rsidRPr="006D487D">
        <w:rPr>
          <w:b/>
          <w:color w:val="3F4037"/>
        </w:rPr>
        <w:t>yöneticiden onay alınmak suretiyle</w:t>
      </w:r>
      <w:r w:rsidRPr="006D487D">
        <w:rPr>
          <w:color w:val="3F4037"/>
        </w:rPr>
        <w:t xml:space="preserve"> ertesi yıla geçen yüklenmelere girişilebilinecektir.</w:t>
      </w:r>
      <w:proofErr w:type="gramEnd"/>
    </w:p>
    <w:p w:rsidR="00175C20" w:rsidRPr="006D487D" w:rsidRDefault="00175C20" w:rsidP="00175C20">
      <w:pPr>
        <w:spacing w:before="120" w:after="120"/>
        <w:ind w:firstLine="902"/>
        <w:jc w:val="both"/>
        <w:rPr>
          <w:color w:val="3F4037"/>
        </w:rPr>
      </w:pPr>
      <w:r w:rsidRPr="006D487D">
        <w:rPr>
          <w:color w:val="3F4037"/>
        </w:rPr>
        <w:t xml:space="preserve">Ancak, süreli yayın alımı, taşıma, koruma ile güvenlik, temizlik ve yemek hizmetleri için bütçelerinde ödeneklerinin </w:t>
      </w:r>
      <w:r w:rsidRPr="006D487D">
        <w:rPr>
          <w:b/>
          <w:color w:val="3F4037"/>
        </w:rPr>
        <w:t xml:space="preserve">yüzde ellisinin aşılmayacağı hükmü aranmaksızın </w:t>
      </w:r>
      <w:r w:rsidRPr="006D487D">
        <w:rPr>
          <w:color w:val="3F4037"/>
        </w:rPr>
        <w:t>yüklenmeye girişilebilecektir.</w:t>
      </w:r>
    </w:p>
    <w:p w:rsidR="00175C20" w:rsidRPr="006D487D" w:rsidRDefault="00175C20" w:rsidP="00175C20">
      <w:pPr>
        <w:spacing w:before="120" w:after="120"/>
        <w:ind w:firstLine="902"/>
        <w:jc w:val="both"/>
        <w:rPr>
          <w:color w:val="3F4037"/>
        </w:rPr>
      </w:pPr>
      <w:r w:rsidRPr="006D487D">
        <w:rPr>
          <w:color w:val="3F4037"/>
        </w:rPr>
        <w:t xml:space="preserve">Yukarıda belirtilen, üst yöneticiden onay alınmak suretiyle ihale edilmesine izin verilen iş ve hizmetlerin dışındaki iş ve hizmetlerin ise gelecek yıla </w:t>
      </w:r>
      <w:proofErr w:type="gramStart"/>
      <w:r w:rsidRPr="006D487D">
        <w:rPr>
          <w:color w:val="3F4037"/>
        </w:rPr>
        <w:t>sari</w:t>
      </w:r>
      <w:proofErr w:type="gramEnd"/>
      <w:r w:rsidRPr="006D487D">
        <w:rPr>
          <w:color w:val="3F4037"/>
        </w:rPr>
        <w:t xml:space="preserve"> olarak ihalesi mümkün bulunmamaktadır.</w:t>
      </w:r>
    </w:p>
    <w:p w:rsidR="00175C20" w:rsidRPr="006D487D" w:rsidRDefault="00175C20" w:rsidP="00175C20">
      <w:pPr>
        <w:spacing w:before="120" w:after="120"/>
        <w:ind w:firstLine="902"/>
        <w:jc w:val="both"/>
        <w:rPr>
          <w:color w:val="3F4037"/>
        </w:rPr>
      </w:pPr>
      <w:r w:rsidRPr="006D487D">
        <w:rPr>
          <w:b/>
          <w:color w:val="3F4037"/>
        </w:rPr>
        <w:t>4) İhaleye Çıkılacak İşler İçin Ödeneğinin Bulunması:</w:t>
      </w:r>
    </w:p>
    <w:p w:rsidR="00175C20" w:rsidRPr="006D487D" w:rsidRDefault="00175C20" w:rsidP="00175C20">
      <w:pPr>
        <w:spacing w:before="120" w:after="120"/>
        <w:ind w:firstLine="902"/>
        <w:jc w:val="both"/>
        <w:rPr>
          <w:color w:val="3F4037"/>
        </w:rPr>
      </w:pPr>
      <w:r w:rsidRPr="006D487D">
        <w:rPr>
          <w:color w:val="3F4037"/>
        </w:rPr>
        <w:t>5018 sayılı Kanun ile 4734 sayılı Kamu İhale Kanunu’nun 5’inci maddesi gereğince ödeneği bulunmayan işler için ihaleye çıkılması mümkün olmadığından ihale işlemleri esnasında bu hususa dikkat edilmesi gerekmektedir.</w:t>
      </w:r>
    </w:p>
    <w:p w:rsidR="00175C20" w:rsidRPr="006D487D" w:rsidRDefault="00175C20" w:rsidP="00175C20">
      <w:pPr>
        <w:spacing w:before="120" w:after="120"/>
        <w:ind w:firstLine="902"/>
        <w:jc w:val="both"/>
        <w:rPr>
          <w:color w:val="3F4037"/>
        </w:rPr>
      </w:pPr>
      <w:r w:rsidRPr="006D487D">
        <w:rPr>
          <w:color w:val="3F4037"/>
        </w:rPr>
        <w:t>Ancak, 4734 sayılı Kamu İhale Kanunu’nun 62’nci maddesinin (b) bendinde belirtildiği üzere, ertesi mali yılda gerçekleştirilecek süreklilik arz eden mal ve hizmet alımları için bir önceki mali yıl sona ermeden ihaleye çıkılabilir.</w:t>
      </w:r>
    </w:p>
    <w:p w:rsidR="00175C20" w:rsidRPr="006D487D" w:rsidRDefault="00175C20" w:rsidP="00175C20">
      <w:pPr>
        <w:spacing w:before="160" w:after="160"/>
        <w:ind w:firstLine="902"/>
        <w:jc w:val="both"/>
        <w:rPr>
          <w:color w:val="3F4037"/>
        </w:rPr>
      </w:pPr>
      <w:r w:rsidRPr="006D487D">
        <w:rPr>
          <w:color w:val="3F4037"/>
        </w:rPr>
        <w:t>Öte yandan, 4749 sayılı Kamu Finansmanı ve Borç Yönetiminin Düzenlenmesi Hakkında Kanun’un 14’üncü maddesi gereğince dış proje kredilerinden kullanılacak tutarlar için ilgili yıl bütçesinde ihtiyaca göre, kredi anlaşması kullanım dönemleri ve tutarları göz önünde bulundurularak yeterli ödeneğin tahsis edilmesi esas olduğundan finansmanı dış proje kredilerinden sağlanacak harcamalar için ödeneği bütçeleştirilmeden taahhüde girişilmeyecektir.</w:t>
      </w:r>
      <w:r w:rsidRPr="006D487D">
        <w:rPr>
          <w:b/>
          <w:color w:val="3F4037"/>
        </w:rPr>
        <w:t xml:space="preserve">5) Yıllara </w:t>
      </w:r>
      <w:proofErr w:type="gramStart"/>
      <w:r w:rsidRPr="006D487D">
        <w:rPr>
          <w:b/>
          <w:color w:val="3F4037"/>
        </w:rPr>
        <w:t>Sari</w:t>
      </w:r>
      <w:proofErr w:type="gramEnd"/>
      <w:r w:rsidRPr="006D487D">
        <w:rPr>
          <w:b/>
          <w:color w:val="3F4037"/>
        </w:rPr>
        <w:t xml:space="preserve"> Yatırım İhalelerinde Gerekli Olan Asgari Ödenek Miktarı:</w:t>
      </w:r>
    </w:p>
    <w:p w:rsidR="00175C20" w:rsidRPr="006D487D" w:rsidRDefault="00175C20" w:rsidP="00175C20">
      <w:pPr>
        <w:spacing w:before="120" w:after="120"/>
        <w:ind w:firstLine="902"/>
        <w:jc w:val="both"/>
        <w:rPr>
          <w:color w:val="3F4037"/>
        </w:rPr>
      </w:pPr>
      <w:proofErr w:type="gramStart"/>
      <w:r w:rsidRPr="006D487D">
        <w:rPr>
          <w:color w:val="3F4037"/>
        </w:rPr>
        <w:t xml:space="preserve">4734 sayılı Kamu İhale Kanunu’nun 62’nci maddesinin (a) bendi ile yılları merkezi yönetim bütçe kanunlarının yatırım harcamalarını düzenleyen ilgili maddelerine göre; yatırım projelerinin planlanan sürede tamamlanarak eğitime kazandırılabilmesi amacıyla, birden fazla yılı kapsayan işlerde ihaleye çıkılabilmesi için, işin süresine uygun olarak yıllar itibarıyla ödeneğin bütçelerinde bulunmasını sağlamak üzere programlamanın yapılmış olması zorunludur. </w:t>
      </w:r>
      <w:proofErr w:type="gramEnd"/>
      <w:r w:rsidRPr="006D487D">
        <w:rPr>
          <w:color w:val="3F4037"/>
        </w:rPr>
        <w:t xml:space="preserve">İlk yıl için öngörülen ödeneğin proje maliyetinin %10’undan az olmamasına ve başlangıçta daha sonraki yıllar için programlanmış olan ödenek dilimlerinin sonraki yıllarda azaltılmamasına dikkat </w:t>
      </w:r>
      <w:proofErr w:type="gramStart"/>
      <w:r w:rsidRPr="006D487D">
        <w:rPr>
          <w:color w:val="3F4037"/>
        </w:rPr>
        <w:t>edilecektir.Bu</w:t>
      </w:r>
      <w:proofErr w:type="gramEnd"/>
      <w:r w:rsidRPr="006D487D">
        <w:rPr>
          <w:color w:val="3F4037"/>
        </w:rPr>
        <w:t xml:space="preserve"> çerçevede;</w:t>
      </w:r>
      <w:r w:rsidRPr="006D487D">
        <w:rPr>
          <w:b/>
          <w:color w:val="3F4037"/>
        </w:rPr>
        <w:t>a)</w:t>
      </w:r>
      <w:r w:rsidRPr="006D487D">
        <w:rPr>
          <w:color w:val="3F4037"/>
        </w:rPr>
        <w:t xml:space="preserve"> Bakanlığımız ilgili birimleri, yılı içinde </w:t>
      </w:r>
      <w:r w:rsidRPr="006D487D">
        <w:rPr>
          <w:color w:val="3F4037"/>
        </w:rPr>
        <w:lastRenderedPageBreak/>
        <w:t>başlanacak ve birden fazla yılda devam edecek işler için (ikmal inşaatı niteliğindeki işler dahil) proje maliyetinin en az %10’u kadar bir ödeneği ayıracaklardır.</w:t>
      </w:r>
    </w:p>
    <w:p w:rsidR="00175C20" w:rsidRPr="006D487D" w:rsidRDefault="00175C20" w:rsidP="00175C20">
      <w:pPr>
        <w:spacing w:before="120" w:after="120"/>
        <w:ind w:firstLine="900"/>
        <w:jc w:val="both"/>
        <w:rPr>
          <w:color w:val="3F4037"/>
        </w:rPr>
      </w:pPr>
      <w:r w:rsidRPr="006D487D">
        <w:rPr>
          <w:b/>
          <w:color w:val="3F4037"/>
        </w:rPr>
        <w:t>b)</w:t>
      </w:r>
      <w:r w:rsidRPr="006D487D">
        <w:rPr>
          <w:color w:val="3F4037"/>
        </w:rPr>
        <w:t xml:space="preserve"> Ödeneği bir proje numarası altında toplu olarak verilmiş projelerin, Yatırım Programının Uygulanması, Koordinasyonu ve İzlenmesine Dair Karara göre detay programları yapılırken, yılı içinde başlatılacak işlerin proje maliyeti ile proje maliyetinin en az %10’u tutarındaki ödenek, detay programında gösterilecektir. %10 ödeneğin hesaplanmasında bütçe ödeneğine ek olarak yatırım programında yer alan diğer kaynaklar da dikkate alınacaktır.</w:t>
      </w:r>
    </w:p>
    <w:p w:rsidR="00175C20" w:rsidRPr="006D487D" w:rsidRDefault="00175C20" w:rsidP="00175C20">
      <w:pPr>
        <w:spacing w:before="120" w:after="120"/>
        <w:ind w:firstLine="900"/>
        <w:jc w:val="both"/>
        <w:rPr>
          <w:color w:val="3F4037"/>
        </w:rPr>
      </w:pPr>
      <w:r w:rsidRPr="006D487D">
        <w:rPr>
          <w:b/>
          <w:color w:val="3F4037"/>
        </w:rPr>
        <w:t>6) Diğer Hususlar:</w:t>
      </w:r>
    </w:p>
    <w:p w:rsidR="00175C20" w:rsidRPr="006D487D" w:rsidRDefault="00175C20" w:rsidP="00175C20">
      <w:pPr>
        <w:spacing w:before="120" w:after="120"/>
        <w:ind w:firstLine="900"/>
        <w:jc w:val="both"/>
        <w:rPr>
          <w:color w:val="3F4037"/>
        </w:rPr>
      </w:pPr>
      <w:r w:rsidRPr="006D487D">
        <w:rPr>
          <w:b/>
          <w:color w:val="3F4037"/>
        </w:rPr>
        <w:t>a)</w:t>
      </w:r>
      <w:r w:rsidRPr="006D487D">
        <w:rPr>
          <w:color w:val="3F4037"/>
        </w:rPr>
        <w:t xml:space="preserve"> Ön mali kontrol sonucunda uygun görüş verilip verilmemesi danışma ve önleyici niteliği haiz olup, mali karar ve işlemlerin ön mali kontrole tabi tutulması ve ön mali kontrol sonucunda uygun görüş verilmiş olması harcama yetkilileri ve gerçekleştirme görevlilerinin sorumluluğunu ortadan kaldırmaz.</w:t>
      </w:r>
    </w:p>
    <w:p w:rsidR="00175C20" w:rsidRPr="006D487D" w:rsidRDefault="00175C20" w:rsidP="00175C20">
      <w:pPr>
        <w:spacing w:before="120" w:after="120"/>
        <w:ind w:firstLine="900"/>
        <w:jc w:val="both"/>
        <w:rPr>
          <w:color w:val="3F4037"/>
        </w:rPr>
      </w:pPr>
      <w:r w:rsidRPr="006D487D">
        <w:rPr>
          <w:color w:val="3F4037"/>
        </w:rPr>
        <w:t>Diğer taraftan, uygun görüş verilmediği halde harcama yetkilileri tarafından gerçekleştirilen işlemlerin, Strateji Geliştirme Başkanlığınca kayıtları tutulur ve aylık dönemler itibariyle üst yöneticiye bildirilir. Söz konusu kayıtlar iç ve dış denetim sırasında denetçilere de sunulur.</w:t>
      </w:r>
    </w:p>
    <w:p w:rsidR="00175C20" w:rsidRPr="006D487D" w:rsidRDefault="00175C20" w:rsidP="00175C20">
      <w:pPr>
        <w:spacing w:before="120" w:after="120"/>
        <w:ind w:firstLine="902"/>
        <w:jc w:val="both"/>
        <w:rPr>
          <w:color w:val="3F4037"/>
        </w:rPr>
      </w:pPr>
      <w:r w:rsidRPr="006D487D">
        <w:rPr>
          <w:b/>
          <w:color w:val="3F4037"/>
        </w:rPr>
        <w:t>b)</w:t>
      </w:r>
      <w:r w:rsidRPr="006D487D">
        <w:rPr>
          <w:color w:val="3F4037"/>
        </w:rPr>
        <w:t xml:space="preserve"> 4734 sayılı Kamu İhale Kanunu’nun 62’nci maddesinin (b) bendinde öngörülen ödeneklerin kullanılmasına imkân verecek süre dikkate alınarak, idarelerce ihalelerin zamanında yapılması, birden fazla yılı kapsayan ve yatırım niteliği olan işlerde (doğal afetler nedeniyle yapılması gerekenler hariç) ise yılın ilk dokuz ayında ihalenin sonuçlandırılmasına özen gösterilecektir.</w:t>
      </w:r>
    </w:p>
    <w:p w:rsidR="00175C20" w:rsidRPr="006D487D" w:rsidRDefault="00175C20" w:rsidP="00175C20">
      <w:pPr>
        <w:spacing w:before="120" w:after="120"/>
        <w:ind w:firstLine="902"/>
        <w:jc w:val="both"/>
        <w:rPr>
          <w:color w:val="3F4037"/>
        </w:rPr>
      </w:pPr>
      <w:r w:rsidRPr="006D487D">
        <w:rPr>
          <w:b/>
          <w:color w:val="3F4037"/>
        </w:rPr>
        <w:t>c)</w:t>
      </w:r>
      <w:r w:rsidRPr="006D487D">
        <w:rPr>
          <w:color w:val="3F4037"/>
        </w:rPr>
        <w:t xml:space="preserve"> Taahhüt ve sözleşme tasarılarının Strateji Geliştirme Başkanlığınca </w:t>
      </w:r>
      <w:r w:rsidRPr="006D487D">
        <w:rPr>
          <w:b/>
          <w:bCs/>
          <w:color w:val="3F4037"/>
        </w:rPr>
        <w:t>ön mali kontrolü yapılmadan imzalanması ve taahhüdün ifasına başlanılması kanuni olmadığından,</w:t>
      </w:r>
      <w:r w:rsidRPr="006D487D">
        <w:rPr>
          <w:color w:val="3F4037"/>
        </w:rPr>
        <w:t xml:space="preserve"> bu işlemlere ilişkin sorumluluk ilgili birime ait olacaktır.</w:t>
      </w:r>
    </w:p>
    <w:p w:rsidR="00175C20" w:rsidRPr="006D487D" w:rsidRDefault="00175C20" w:rsidP="00175C20">
      <w:pPr>
        <w:spacing w:before="120" w:after="120"/>
        <w:ind w:firstLine="902"/>
        <w:jc w:val="both"/>
        <w:rPr>
          <w:color w:val="3F4037"/>
        </w:rPr>
      </w:pPr>
      <w:r w:rsidRPr="006D487D">
        <w:rPr>
          <w:b/>
          <w:color w:val="3F4037"/>
        </w:rPr>
        <w:t>d)</w:t>
      </w:r>
      <w:r w:rsidRPr="006D487D">
        <w:rPr>
          <w:color w:val="3F4037"/>
        </w:rPr>
        <w:t xml:space="preserve"> Ön mali kontrolü yapılan taahhüt evrakından sözleşmeye bağlananlarla ilgili olarak, ihale dokümanı gereğince noterce tescil edilmiş olsun veya olmasın sözleşmenin onaylı bir örneği ile kesin teminat alındığına dair belgenin onaylanmış bir örneği ön mali kontrolün yapıldığına ilişkin Strateji Geliştirme Başkanlığı yazısının tarih ve sayısı ilgi tutularak </w:t>
      </w:r>
      <w:r w:rsidRPr="006D487D">
        <w:rPr>
          <w:b/>
          <w:bCs/>
          <w:color w:val="3F4037"/>
        </w:rPr>
        <w:t>7 gün içinde</w:t>
      </w:r>
      <w:r w:rsidRPr="006D487D">
        <w:rPr>
          <w:color w:val="3F4037"/>
        </w:rPr>
        <w:t xml:space="preserve">, sözleşmenin devri halinde devir sözleşmesi, yapım işlerinde sözleşmede öngörülmeyen iş artışının zorunlu hale gelmesi ve bu artışın müteahhide yaptırılması halinde buna ilişkin onay belgesi ve yaklaşık maliyet hesap cetveli ile ek kesin teminata ilişkin belgeler aynı süre </w:t>
      </w:r>
      <w:proofErr w:type="gramStart"/>
      <w:r w:rsidRPr="006D487D">
        <w:rPr>
          <w:color w:val="3F4037"/>
        </w:rPr>
        <w:t>içinde  Strateji</w:t>
      </w:r>
      <w:proofErr w:type="gramEnd"/>
      <w:r w:rsidRPr="006D487D">
        <w:rPr>
          <w:color w:val="3F4037"/>
        </w:rPr>
        <w:t xml:space="preserve"> Geliştirme Başkanlığına gönderilecektir.</w:t>
      </w:r>
    </w:p>
    <w:p w:rsidR="00175C20" w:rsidRPr="006D487D" w:rsidRDefault="00175C20" w:rsidP="00175C20">
      <w:pPr>
        <w:spacing w:before="120" w:after="120"/>
        <w:ind w:firstLine="902"/>
        <w:jc w:val="both"/>
        <w:rPr>
          <w:color w:val="3F4037"/>
        </w:rPr>
      </w:pPr>
      <w:r w:rsidRPr="006D487D">
        <w:rPr>
          <w:b/>
          <w:color w:val="3F4037"/>
        </w:rPr>
        <w:t xml:space="preserve">e) </w:t>
      </w:r>
      <w:r w:rsidRPr="006D487D">
        <w:rPr>
          <w:color w:val="3F4037"/>
        </w:rPr>
        <w:t>İhale işlem dosyası, içerisinde bulunan bütün belgeleri gösteren onaylı bir dizi pusulası düzenlenip dizi pusulasında gösterildiği şekilde tasnif edilerek, aşağıda belirtilen hususları da içeren bir üst yazı ile birlikte Strateji Geliştirme Başkanlığına gönderilecektir.</w:t>
      </w:r>
    </w:p>
    <w:p w:rsidR="00103CF8" w:rsidRPr="006D487D" w:rsidRDefault="00103CF8" w:rsidP="00175C20"/>
    <w:sectPr w:rsidR="00103CF8" w:rsidRPr="006D487D" w:rsidSect="00F16A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75C20"/>
    <w:rsid w:val="00103CF8"/>
    <w:rsid w:val="00175C20"/>
    <w:rsid w:val="006D487D"/>
    <w:rsid w:val="00F16A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5C20"/>
    <w:rPr>
      <w:rFonts w:ascii="Tahoma" w:hAnsi="Tahoma" w:cs="Tahoma"/>
      <w:sz w:val="16"/>
      <w:szCs w:val="16"/>
    </w:rPr>
  </w:style>
  <w:style w:type="character" w:customStyle="1" w:styleId="BalonMetniChar">
    <w:name w:val="Balon Metni Char"/>
    <w:basedOn w:val="VarsaylanParagrafYazTipi"/>
    <w:link w:val="BalonMetni"/>
    <w:uiPriority w:val="99"/>
    <w:semiHidden/>
    <w:rsid w:val="00175C2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5C20"/>
    <w:rPr>
      <w:rFonts w:ascii="Tahoma" w:hAnsi="Tahoma" w:cs="Tahoma"/>
      <w:sz w:val="16"/>
      <w:szCs w:val="16"/>
    </w:rPr>
  </w:style>
  <w:style w:type="character" w:customStyle="1" w:styleId="BalonMetniChar">
    <w:name w:val="Balon Metni Char"/>
    <w:basedOn w:val="VarsaylanParagrafYazTipi"/>
    <w:link w:val="BalonMetni"/>
    <w:uiPriority w:val="99"/>
    <w:semiHidden/>
    <w:rsid w:val="00175C2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936</Words>
  <Characters>5337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StratejiDB</cp:lastModifiedBy>
  <cp:revision>3</cp:revision>
  <cp:lastPrinted>2015-12-04T11:26:00Z</cp:lastPrinted>
  <dcterms:created xsi:type="dcterms:W3CDTF">2015-12-04T11:24:00Z</dcterms:created>
  <dcterms:modified xsi:type="dcterms:W3CDTF">2018-02-21T09:08:00Z</dcterms:modified>
</cp:coreProperties>
</file>