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1AB" w:rsidRDefault="005371AB" w:rsidP="005371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29A">
        <w:rPr>
          <w:rFonts w:ascii="Times New Roman" w:hAnsi="Times New Roman" w:cs="Times New Roman"/>
          <w:b/>
          <w:bCs/>
          <w:sz w:val="24"/>
          <w:szCs w:val="24"/>
        </w:rPr>
        <w:t>DEF</w:t>
      </w:r>
      <w:r w:rsidR="0067484A">
        <w:rPr>
          <w:rFonts w:ascii="Times New Roman" w:hAnsi="Times New Roman" w:cs="Times New Roman"/>
          <w:b/>
          <w:bCs/>
          <w:sz w:val="24"/>
          <w:szCs w:val="24"/>
        </w:rPr>
        <w:t>İBRİLASYON UYGULAYABİLME BE</w:t>
      </w:r>
      <w:r w:rsidR="006822AB">
        <w:rPr>
          <w:rFonts w:ascii="Times New Roman" w:hAnsi="Times New Roman" w:cs="Times New Roman"/>
          <w:b/>
          <w:bCs/>
          <w:sz w:val="24"/>
          <w:szCs w:val="24"/>
        </w:rPr>
        <w:t xml:space="preserve">CERİ </w:t>
      </w:r>
      <w:r w:rsidRPr="00DA729A">
        <w:rPr>
          <w:rFonts w:ascii="Times New Roman" w:hAnsi="Times New Roman" w:cs="Times New Roman"/>
          <w:b/>
          <w:bCs/>
          <w:sz w:val="24"/>
          <w:szCs w:val="24"/>
        </w:rPr>
        <w:t>KILAVUZU</w:t>
      </w:r>
    </w:p>
    <w:p w:rsidR="00C53060" w:rsidRPr="00C53060" w:rsidRDefault="00C53060" w:rsidP="00D4110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5569E" w:rsidRPr="00DA729A" w:rsidRDefault="005371AB" w:rsidP="00021E9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9A">
        <w:rPr>
          <w:rFonts w:ascii="Times New Roman" w:hAnsi="Times New Roman" w:cs="Times New Roman"/>
          <w:b/>
          <w:bCs/>
          <w:sz w:val="24"/>
          <w:szCs w:val="24"/>
        </w:rPr>
        <w:t xml:space="preserve">AMAÇ: </w:t>
      </w:r>
      <w:proofErr w:type="spellStart"/>
      <w:r w:rsidR="00021E9C" w:rsidRPr="00021E9C">
        <w:rPr>
          <w:rFonts w:ascii="Times New Roman" w:hAnsi="Times New Roman" w:cs="Times New Roman"/>
          <w:bCs/>
          <w:sz w:val="24"/>
          <w:szCs w:val="24"/>
        </w:rPr>
        <w:t>European</w:t>
      </w:r>
      <w:proofErr w:type="spellEnd"/>
      <w:r w:rsidR="00021E9C" w:rsidRPr="00021E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21E9C" w:rsidRPr="00021E9C">
        <w:rPr>
          <w:rFonts w:ascii="Times New Roman" w:hAnsi="Times New Roman" w:cs="Times New Roman"/>
          <w:bCs/>
          <w:sz w:val="24"/>
          <w:szCs w:val="24"/>
        </w:rPr>
        <w:t>Resuscitation</w:t>
      </w:r>
      <w:proofErr w:type="spellEnd"/>
      <w:r w:rsidR="00021E9C" w:rsidRPr="00021E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21E9C" w:rsidRPr="00021E9C">
        <w:rPr>
          <w:rFonts w:ascii="Times New Roman" w:hAnsi="Times New Roman" w:cs="Times New Roman"/>
          <w:bCs/>
          <w:sz w:val="24"/>
          <w:szCs w:val="24"/>
        </w:rPr>
        <w:t>Council</w:t>
      </w:r>
      <w:proofErr w:type="spellEnd"/>
      <w:r w:rsidR="00021E9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7B27AA" w:rsidRPr="00DA729A">
        <w:rPr>
          <w:rFonts w:ascii="Times New Roman" w:hAnsi="Times New Roman" w:cs="Times New Roman"/>
          <w:bCs/>
          <w:sz w:val="24"/>
          <w:szCs w:val="24"/>
        </w:rPr>
        <w:t>ERC</w:t>
      </w:r>
      <w:r w:rsidR="00021E9C">
        <w:rPr>
          <w:rFonts w:ascii="Times New Roman" w:hAnsi="Times New Roman" w:cs="Times New Roman"/>
          <w:bCs/>
          <w:sz w:val="24"/>
          <w:szCs w:val="24"/>
        </w:rPr>
        <w:t>)-</w:t>
      </w:r>
      <w:r w:rsidR="007B27AA" w:rsidRPr="00DA729A">
        <w:rPr>
          <w:rFonts w:ascii="Times New Roman" w:hAnsi="Times New Roman" w:cs="Times New Roman"/>
          <w:bCs/>
          <w:sz w:val="24"/>
          <w:szCs w:val="24"/>
        </w:rPr>
        <w:t>(</w:t>
      </w:r>
      <w:r w:rsidR="007B27AA" w:rsidRPr="00DA729A">
        <w:rPr>
          <w:rFonts w:ascii="Times New Roman" w:hAnsi="Times New Roman" w:cs="Times New Roman"/>
          <w:sz w:val="24"/>
          <w:szCs w:val="24"/>
        </w:rPr>
        <w:t xml:space="preserve">Avrupa </w:t>
      </w:r>
      <w:proofErr w:type="spellStart"/>
      <w:r w:rsidR="007B27AA" w:rsidRPr="00DA729A">
        <w:rPr>
          <w:rFonts w:ascii="Times New Roman" w:hAnsi="Times New Roman" w:cs="Times New Roman"/>
          <w:sz w:val="24"/>
          <w:szCs w:val="24"/>
        </w:rPr>
        <w:t>Resüsitasyon</w:t>
      </w:r>
      <w:proofErr w:type="spellEnd"/>
      <w:r w:rsidR="007B27AA" w:rsidRPr="00DA729A">
        <w:rPr>
          <w:rFonts w:ascii="Times New Roman" w:hAnsi="Times New Roman" w:cs="Times New Roman"/>
          <w:sz w:val="24"/>
          <w:szCs w:val="24"/>
        </w:rPr>
        <w:t xml:space="preserve"> Konseyi) </w:t>
      </w:r>
      <w:r w:rsidR="00B31392" w:rsidRPr="00DA729A">
        <w:rPr>
          <w:rFonts w:ascii="Times New Roman" w:hAnsi="Times New Roman" w:cs="Times New Roman"/>
          <w:bCs/>
          <w:sz w:val="24"/>
          <w:szCs w:val="24"/>
        </w:rPr>
        <w:t xml:space="preserve">kararları doğrultusunda </w:t>
      </w:r>
      <w:proofErr w:type="spellStart"/>
      <w:r w:rsidR="00B31392" w:rsidRPr="00DA729A">
        <w:rPr>
          <w:rFonts w:ascii="Times New Roman" w:hAnsi="Times New Roman" w:cs="Times New Roman"/>
          <w:bCs/>
          <w:sz w:val="24"/>
          <w:szCs w:val="24"/>
        </w:rPr>
        <w:t>d</w:t>
      </w:r>
      <w:r w:rsidR="00312253" w:rsidRPr="00DA729A">
        <w:rPr>
          <w:rFonts w:ascii="Times New Roman" w:hAnsi="Times New Roman" w:cs="Times New Roman"/>
          <w:sz w:val="24"/>
          <w:szCs w:val="24"/>
        </w:rPr>
        <w:t>efibrilatör</w:t>
      </w:r>
      <w:proofErr w:type="spellEnd"/>
      <w:r w:rsidR="00312253" w:rsidRPr="00DA729A">
        <w:rPr>
          <w:rFonts w:ascii="Times New Roman" w:hAnsi="Times New Roman" w:cs="Times New Roman"/>
          <w:sz w:val="24"/>
          <w:szCs w:val="24"/>
        </w:rPr>
        <w:t xml:space="preserve"> cihazını</w:t>
      </w:r>
      <w:r w:rsidR="00121D1B" w:rsidRPr="00DA729A">
        <w:rPr>
          <w:rFonts w:ascii="Times New Roman" w:hAnsi="Times New Roman" w:cs="Times New Roman"/>
          <w:sz w:val="24"/>
          <w:szCs w:val="24"/>
        </w:rPr>
        <w:t>n</w:t>
      </w:r>
      <w:r w:rsidRPr="00DA729A">
        <w:rPr>
          <w:rFonts w:ascii="Times New Roman" w:hAnsi="Times New Roman" w:cs="Times New Roman"/>
          <w:sz w:val="24"/>
          <w:szCs w:val="24"/>
        </w:rPr>
        <w:t xml:space="preserve"> </w:t>
      </w:r>
      <w:r w:rsidR="00312253" w:rsidRPr="00DA729A">
        <w:rPr>
          <w:rFonts w:ascii="Times New Roman" w:hAnsi="Times New Roman" w:cs="Times New Roman"/>
          <w:sz w:val="24"/>
          <w:szCs w:val="24"/>
        </w:rPr>
        <w:t>doğru</w:t>
      </w:r>
      <w:r w:rsidR="00121D1B" w:rsidRPr="00DA729A">
        <w:rPr>
          <w:rFonts w:ascii="Times New Roman" w:hAnsi="Times New Roman" w:cs="Times New Roman"/>
          <w:sz w:val="24"/>
          <w:szCs w:val="24"/>
        </w:rPr>
        <w:t xml:space="preserve"> kullanıla</w:t>
      </w:r>
      <w:r w:rsidR="00312253" w:rsidRPr="00DA729A">
        <w:rPr>
          <w:rFonts w:ascii="Times New Roman" w:hAnsi="Times New Roman" w:cs="Times New Roman"/>
          <w:sz w:val="24"/>
          <w:szCs w:val="24"/>
        </w:rPr>
        <w:t>bilme</w:t>
      </w:r>
      <w:r w:rsidR="00121D1B" w:rsidRPr="00DA729A">
        <w:rPr>
          <w:rFonts w:ascii="Times New Roman" w:hAnsi="Times New Roman" w:cs="Times New Roman"/>
          <w:sz w:val="24"/>
          <w:szCs w:val="24"/>
        </w:rPr>
        <w:t>si</w:t>
      </w:r>
      <w:r w:rsidR="00312253" w:rsidRPr="00DA72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2253" w:rsidRPr="00DA729A">
        <w:rPr>
          <w:rFonts w:ascii="Times New Roman" w:hAnsi="Times New Roman" w:cs="Times New Roman"/>
          <w:sz w:val="24"/>
          <w:szCs w:val="24"/>
        </w:rPr>
        <w:t>defibrilasyon</w:t>
      </w:r>
      <w:proofErr w:type="spellEnd"/>
      <w:r w:rsidR="00312253" w:rsidRPr="00DA729A">
        <w:rPr>
          <w:rFonts w:ascii="Times New Roman" w:hAnsi="Times New Roman" w:cs="Times New Roman"/>
          <w:sz w:val="24"/>
          <w:szCs w:val="24"/>
        </w:rPr>
        <w:t xml:space="preserve"> uygulayabilme becerisinin kazanılması</w:t>
      </w:r>
      <w:r w:rsidR="00121D1B" w:rsidRPr="00DA729A">
        <w:rPr>
          <w:rFonts w:ascii="Times New Roman" w:hAnsi="Times New Roman" w:cs="Times New Roman"/>
          <w:sz w:val="24"/>
          <w:szCs w:val="24"/>
        </w:rPr>
        <w:t xml:space="preserve"> ve</w:t>
      </w:r>
      <w:r w:rsidR="001A4FAA" w:rsidRPr="00DA729A">
        <w:rPr>
          <w:rFonts w:ascii="Times New Roman" w:hAnsi="Times New Roman" w:cs="Times New Roman"/>
          <w:sz w:val="24"/>
          <w:szCs w:val="24"/>
        </w:rPr>
        <w:t xml:space="preserve"> işlem sonunda </w:t>
      </w:r>
      <w:r w:rsidR="00121D1B" w:rsidRPr="00DA729A">
        <w:rPr>
          <w:rFonts w:ascii="Times New Roman" w:hAnsi="Times New Roman" w:cs="Times New Roman"/>
          <w:sz w:val="24"/>
          <w:szCs w:val="24"/>
        </w:rPr>
        <w:t>cihazın bakımının yapılabilmesini sağlamaktır.</w:t>
      </w:r>
    </w:p>
    <w:p w:rsidR="00C219FB" w:rsidRPr="00DA729A" w:rsidRDefault="00C219FB" w:rsidP="00021E9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1AB" w:rsidRDefault="005371AB" w:rsidP="00021E9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9A">
        <w:rPr>
          <w:rFonts w:ascii="Times New Roman" w:hAnsi="Times New Roman" w:cs="Times New Roman"/>
          <w:b/>
          <w:bCs/>
          <w:sz w:val="24"/>
          <w:szCs w:val="24"/>
        </w:rPr>
        <w:t xml:space="preserve">ARAÇLAR: </w:t>
      </w:r>
      <w:r w:rsidRPr="00DA729A">
        <w:rPr>
          <w:rFonts w:ascii="Times New Roman" w:hAnsi="Times New Roman" w:cs="Times New Roman"/>
          <w:sz w:val="24"/>
          <w:szCs w:val="24"/>
        </w:rPr>
        <w:t>Defibrilatör cihazı, elektrot</w:t>
      </w:r>
      <w:r w:rsidR="00121D1B" w:rsidRPr="00DA729A">
        <w:rPr>
          <w:rFonts w:ascii="Times New Roman" w:hAnsi="Times New Roman" w:cs="Times New Roman"/>
          <w:sz w:val="24"/>
          <w:szCs w:val="24"/>
        </w:rPr>
        <w:t>lar</w:t>
      </w:r>
      <w:r w:rsidR="00B31392" w:rsidRPr="00DA729A">
        <w:rPr>
          <w:rFonts w:ascii="Times New Roman" w:hAnsi="Times New Roman" w:cs="Times New Roman"/>
          <w:sz w:val="24"/>
          <w:szCs w:val="24"/>
        </w:rPr>
        <w:t xml:space="preserve">, </w:t>
      </w:r>
      <w:r w:rsidR="00C53060">
        <w:rPr>
          <w:rFonts w:ascii="Times New Roman" w:hAnsi="Times New Roman" w:cs="Times New Roman"/>
          <w:sz w:val="24"/>
          <w:szCs w:val="24"/>
        </w:rPr>
        <w:t xml:space="preserve">sıvı </w:t>
      </w:r>
      <w:r w:rsidR="00B31392" w:rsidRPr="00DA729A">
        <w:rPr>
          <w:rFonts w:ascii="Times New Roman" w:hAnsi="Times New Roman" w:cs="Times New Roman"/>
          <w:sz w:val="24"/>
          <w:szCs w:val="24"/>
        </w:rPr>
        <w:t>elektro jel, ileri yaşam destek mank</w:t>
      </w:r>
      <w:r w:rsidR="00C219FB" w:rsidRPr="00DA729A">
        <w:rPr>
          <w:rFonts w:ascii="Times New Roman" w:hAnsi="Times New Roman" w:cs="Times New Roman"/>
          <w:sz w:val="24"/>
          <w:szCs w:val="24"/>
        </w:rPr>
        <w:t>eni, EKG kâğıdı</w:t>
      </w:r>
    </w:p>
    <w:p w:rsidR="00DA729A" w:rsidRPr="00354BFD" w:rsidRDefault="00DA729A" w:rsidP="009A7A3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1106" w:rsidRPr="00DE142F" w:rsidRDefault="00D41106" w:rsidP="009A7A3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C51B4" w:rsidRDefault="00DA729A" w:rsidP="00DA729A">
      <w:pPr>
        <w:pStyle w:val="Default"/>
        <w:jc w:val="center"/>
        <w:rPr>
          <w:rFonts w:ascii="Times New Roman" w:hAnsi="Times New Roman" w:cs="Times New Roman"/>
          <w:b/>
        </w:rPr>
      </w:pPr>
      <w:r w:rsidRPr="00DA729A">
        <w:rPr>
          <w:rFonts w:ascii="Times New Roman" w:hAnsi="Times New Roman" w:cs="Times New Roman"/>
          <w:b/>
        </w:rPr>
        <w:t>İŞLEM BASAMAKLARI</w:t>
      </w:r>
    </w:p>
    <w:p w:rsidR="006822AB" w:rsidRPr="00DA729A" w:rsidRDefault="006822AB" w:rsidP="00DA729A">
      <w:pPr>
        <w:pStyle w:val="Default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D41106" w:rsidRPr="00D41106" w:rsidTr="00DC333E">
        <w:tc>
          <w:tcPr>
            <w:tcW w:w="9209" w:type="dxa"/>
          </w:tcPr>
          <w:p w:rsidR="00D41106" w:rsidRPr="00D41106" w:rsidRDefault="00D41106" w:rsidP="00DC333E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41106">
              <w:rPr>
                <w:rFonts w:ascii="Times New Roman" w:hAnsi="Times New Roman" w:cs="Times New Roman"/>
              </w:rPr>
              <w:t xml:space="preserve">Hasta </w:t>
            </w:r>
            <w:proofErr w:type="spellStart"/>
            <w:r w:rsidRPr="00D41106">
              <w:rPr>
                <w:rFonts w:ascii="Times New Roman" w:hAnsi="Times New Roman" w:cs="Times New Roman"/>
              </w:rPr>
              <w:t>monitörize</w:t>
            </w:r>
            <w:proofErr w:type="spellEnd"/>
            <w:r w:rsidRPr="00D41106">
              <w:rPr>
                <w:rFonts w:ascii="Times New Roman" w:hAnsi="Times New Roman" w:cs="Times New Roman"/>
              </w:rPr>
              <w:t xml:space="preserve"> edilir.</w:t>
            </w:r>
          </w:p>
        </w:tc>
      </w:tr>
      <w:tr w:rsidR="00D41106" w:rsidRPr="00D41106" w:rsidTr="00DC333E">
        <w:tc>
          <w:tcPr>
            <w:tcW w:w="9209" w:type="dxa"/>
          </w:tcPr>
          <w:p w:rsidR="00D41106" w:rsidRPr="00D41106" w:rsidRDefault="00D41106" w:rsidP="00DC333E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41106">
              <w:rPr>
                <w:rFonts w:ascii="Times New Roman" w:hAnsi="Times New Roman" w:cs="Times New Roman"/>
              </w:rPr>
              <w:t>Defibrilatör</w:t>
            </w:r>
            <w:proofErr w:type="spellEnd"/>
            <w:r w:rsidRPr="00D41106">
              <w:rPr>
                <w:rFonts w:ascii="Times New Roman" w:hAnsi="Times New Roman" w:cs="Times New Roman"/>
              </w:rPr>
              <w:t xml:space="preserve"> on/</w:t>
            </w:r>
            <w:proofErr w:type="spellStart"/>
            <w:r w:rsidRPr="00D41106">
              <w:rPr>
                <w:rFonts w:ascii="Times New Roman" w:hAnsi="Times New Roman" w:cs="Times New Roman"/>
              </w:rPr>
              <w:t>off</w:t>
            </w:r>
            <w:proofErr w:type="spellEnd"/>
            <w:r w:rsidRPr="00D41106">
              <w:rPr>
                <w:rFonts w:ascii="Times New Roman" w:hAnsi="Times New Roman" w:cs="Times New Roman"/>
              </w:rPr>
              <w:t xml:space="preserve"> düğmesi ile açılır.</w:t>
            </w:r>
          </w:p>
        </w:tc>
      </w:tr>
      <w:tr w:rsidR="00D41106" w:rsidRPr="00D41106" w:rsidTr="00DC333E">
        <w:tc>
          <w:tcPr>
            <w:tcW w:w="9209" w:type="dxa"/>
          </w:tcPr>
          <w:p w:rsidR="00D41106" w:rsidRPr="00D41106" w:rsidRDefault="00D41106" w:rsidP="00DC333E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D41106">
              <w:t>Lead</w:t>
            </w:r>
            <w:proofErr w:type="spellEnd"/>
            <w:r w:rsidRPr="00D41106">
              <w:t xml:space="preserve"> </w:t>
            </w:r>
            <w:proofErr w:type="spellStart"/>
            <w:r w:rsidRPr="00D41106">
              <w:t>select</w:t>
            </w:r>
            <w:proofErr w:type="spellEnd"/>
            <w:r w:rsidRPr="00D41106">
              <w:t xml:space="preserve"> düğmesi ile DII derivasyonu seçilir.</w:t>
            </w:r>
          </w:p>
        </w:tc>
      </w:tr>
      <w:tr w:rsidR="00D41106" w:rsidRPr="00D41106" w:rsidTr="00DC333E">
        <w:tc>
          <w:tcPr>
            <w:tcW w:w="9209" w:type="dxa"/>
          </w:tcPr>
          <w:p w:rsidR="00D41106" w:rsidRPr="00D41106" w:rsidRDefault="00D41106" w:rsidP="00DC333E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D41106">
              <w:t xml:space="preserve">Enerji </w:t>
            </w:r>
            <w:proofErr w:type="spellStart"/>
            <w:r w:rsidRPr="00D41106">
              <w:t>select</w:t>
            </w:r>
            <w:proofErr w:type="spellEnd"/>
            <w:r w:rsidRPr="00D41106">
              <w:t xml:space="preserve"> düğmesi ile </w:t>
            </w:r>
            <w:proofErr w:type="spellStart"/>
            <w:r w:rsidRPr="00D41106">
              <w:t>bifazik</w:t>
            </w:r>
            <w:proofErr w:type="spellEnd"/>
            <w:r w:rsidRPr="00D41106">
              <w:t xml:space="preserve"> </w:t>
            </w:r>
            <w:proofErr w:type="spellStart"/>
            <w:r w:rsidRPr="00D41106">
              <w:t>defibrilatör</w:t>
            </w:r>
            <w:proofErr w:type="spellEnd"/>
            <w:r w:rsidRPr="00D41106">
              <w:t xml:space="preserve"> için 120-200 J, </w:t>
            </w:r>
            <w:proofErr w:type="spellStart"/>
            <w:r w:rsidRPr="00D41106">
              <w:t>monofazik</w:t>
            </w:r>
            <w:proofErr w:type="spellEnd"/>
            <w:r w:rsidRPr="00D41106">
              <w:t xml:space="preserve"> </w:t>
            </w:r>
            <w:proofErr w:type="spellStart"/>
            <w:r w:rsidRPr="00D41106">
              <w:t>defibrilatör</w:t>
            </w:r>
            <w:proofErr w:type="spellEnd"/>
            <w:r w:rsidRPr="00D41106">
              <w:t xml:space="preserve"> için 360 J enerji seviyesi seçilir.</w:t>
            </w:r>
          </w:p>
        </w:tc>
      </w:tr>
      <w:tr w:rsidR="00D41106" w:rsidRPr="00D41106" w:rsidTr="00DC333E">
        <w:tc>
          <w:tcPr>
            <w:tcW w:w="9209" w:type="dxa"/>
          </w:tcPr>
          <w:p w:rsidR="00D41106" w:rsidRPr="00D41106" w:rsidRDefault="00D41106" w:rsidP="00DC333E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D41106">
              <w:t xml:space="preserve">Elektrotlara yeterli miktarda sıvı elektro jel sürülür. Elektrotlar arasında jel bağlantısı olmamalı; tek elle iki elektrot bir arada tutulmamalıdır. Elektrotlar, göğüs duvarına </w:t>
            </w:r>
            <w:proofErr w:type="spellStart"/>
            <w:r w:rsidRPr="00D41106">
              <w:t>anterior</w:t>
            </w:r>
            <w:proofErr w:type="spellEnd"/>
            <w:r w:rsidRPr="00D41106">
              <w:t xml:space="preserve"> </w:t>
            </w:r>
            <w:proofErr w:type="spellStart"/>
            <w:r w:rsidRPr="00D41106">
              <w:t>apeks</w:t>
            </w:r>
            <w:proofErr w:type="spellEnd"/>
            <w:r w:rsidRPr="00D41106">
              <w:t xml:space="preserve"> pozisyonunda (</w:t>
            </w:r>
            <w:r w:rsidRPr="00D41106">
              <w:rPr>
                <w:rFonts w:eastAsia="+mn-ea"/>
                <w:color w:val="000000"/>
                <w:kern w:val="24"/>
              </w:rPr>
              <w:t>Sağ elektrot (</w:t>
            </w:r>
            <w:proofErr w:type="spellStart"/>
            <w:r w:rsidRPr="00D41106">
              <w:rPr>
                <w:rFonts w:eastAsia="+mn-ea"/>
                <w:color w:val="000000"/>
                <w:kern w:val="24"/>
              </w:rPr>
              <w:t>sternal</w:t>
            </w:r>
            <w:proofErr w:type="spellEnd"/>
            <w:r w:rsidRPr="00D41106">
              <w:rPr>
                <w:rFonts w:eastAsia="+mn-ea"/>
                <w:color w:val="000000"/>
                <w:kern w:val="24"/>
              </w:rPr>
              <w:t xml:space="preserve">), </w:t>
            </w:r>
            <w:proofErr w:type="spellStart"/>
            <w:r w:rsidRPr="00D41106">
              <w:rPr>
                <w:rFonts w:eastAsia="+mn-ea"/>
                <w:color w:val="000000"/>
                <w:kern w:val="24"/>
              </w:rPr>
              <w:t>klavikulanın</w:t>
            </w:r>
            <w:proofErr w:type="spellEnd"/>
            <w:r w:rsidRPr="00D41106">
              <w:rPr>
                <w:rFonts w:eastAsia="+mn-ea"/>
                <w:color w:val="000000"/>
                <w:kern w:val="24"/>
              </w:rPr>
              <w:t xml:space="preserve"> altında </w:t>
            </w:r>
            <w:proofErr w:type="spellStart"/>
            <w:r w:rsidRPr="00D41106">
              <w:rPr>
                <w:rFonts w:eastAsia="+mn-ea"/>
                <w:color w:val="000000"/>
                <w:kern w:val="24"/>
              </w:rPr>
              <w:t>sternumun</w:t>
            </w:r>
            <w:proofErr w:type="spellEnd"/>
            <w:r w:rsidRPr="00D41106">
              <w:rPr>
                <w:rFonts w:eastAsia="+mn-ea"/>
                <w:color w:val="000000"/>
                <w:kern w:val="24"/>
              </w:rPr>
              <w:t xml:space="preserve"> sağ tarafına; sol elektrot (</w:t>
            </w:r>
            <w:proofErr w:type="spellStart"/>
            <w:r w:rsidRPr="00D41106">
              <w:rPr>
                <w:rFonts w:eastAsia="+mn-ea"/>
                <w:color w:val="000000"/>
                <w:kern w:val="24"/>
              </w:rPr>
              <w:t>apikal</w:t>
            </w:r>
            <w:proofErr w:type="spellEnd"/>
            <w:r w:rsidRPr="00D41106">
              <w:rPr>
                <w:rFonts w:eastAsia="+mn-ea"/>
                <w:color w:val="000000"/>
                <w:kern w:val="24"/>
              </w:rPr>
              <w:t xml:space="preserve">) solda 5. </w:t>
            </w:r>
            <w:proofErr w:type="spellStart"/>
            <w:r w:rsidRPr="00D41106">
              <w:rPr>
                <w:rFonts w:eastAsia="+mn-ea"/>
                <w:color w:val="000000"/>
                <w:kern w:val="24"/>
              </w:rPr>
              <w:t>interkostal</w:t>
            </w:r>
            <w:proofErr w:type="spellEnd"/>
            <w:r w:rsidRPr="00D41106">
              <w:rPr>
                <w:rFonts w:eastAsia="+mn-ea"/>
                <w:color w:val="000000"/>
                <w:kern w:val="24"/>
              </w:rPr>
              <w:t xml:space="preserve"> aralık ile ön </w:t>
            </w:r>
            <w:proofErr w:type="spellStart"/>
            <w:r w:rsidRPr="00D41106">
              <w:rPr>
                <w:rFonts w:eastAsia="+mn-ea"/>
                <w:color w:val="000000"/>
                <w:kern w:val="24"/>
              </w:rPr>
              <w:t>aksiller</w:t>
            </w:r>
            <w:proofErr w:type="spellEnd"/>
            <w:r w:rsidRPr="00D41106">
              <w:rPr>
                <w:rFonts w:eastAsia="+mn-ea"/>
                <w:color w:val="000000"/>
                <w:kern w:val="24"/>
              </w:rPr>
              <w:t xml:space="preserve"> hattın kesiştiği noktaya gelecek şekilde)</w:t>
            </w:r>
            <w:r w:rsidRPr="00D41106">
              <w:t xml:space="preserve"> yerleştirilir.</w:t>
            </w:r>
          </w:p>
        </w:tc>
      </w:tr>
      <w:tr w:rsidR="00D41106" w:rsidRPr="00D41106" w:rsidTr="00DC333E">
        <w:tc>
          <w:tcPr>
            <w:tcW w:w="9209" w:type="dxa"/>
          </w:tcPr>
          <w:p w:rsidR="00D41106" w:rsidRPr="00D41106" w:rsidRDefault="00D41106" w:rsidP="00DC333E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D41106">
              <w:t>Monitörden kalp ritmi değerlendirilir.</w:t>
            </w:r>
          </w:p>
        </w:tc>
      </w:tr>
      <w:tr w:rsidR="00D41106" w:rsidRPr="00D41106" w:rsidTr="00DC333E">
        <w:tc>
          <w:tcPr>
            <w:tcW w:w="9209" w:type="dxa"/>
          </w:tcPr>
          <w:p w:rsidR="00D41106" w:rsidRPr="00D41106" w:rsidRDefault="00D41106" w:rsidP="00DC333E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D41106">
              <w:t xml:space="preserve">Ritmin </w:t>
            </w:r>
            <w:proofErr w:type="spellStart"/>
            <w:r w:rsidRPr="00D41106">
              <w:t>ventriküler</w:t>
            </w:r>
            <w:proofErr w:type="spellEnd"/>
            <w:r w:rsidRPr="00D41106">
              <w:t xml:space="preserve"> </w:t>
            </w:r>
            <w:proofErr w:type="spellStart"/>
            <w:r w:rsidRPr="00D41106">
              <w:t>fibrilasyon</w:t>
            </w:r>
            <w:proofErr w:type="spellEnd"/>
            <w:r w:rsidRPr="00D41106">
              <w:t xml:space="preserve"> (VF) ya da nabızsız </w:t>
            </w:r>
            <w:proofErr w:type="spellStart"/>
            <w:r w:rsidRPr="00D41106">
              <w:t>ventriküler</w:t>
            </w:r>
            <w:proofErr w:type="spellEnd"/>
            <w:r w:rsidRPr="00D41106">
              <w:t xml:space="preserve"> taşikardi (nabızsız VT) (şekil:1) olduğundan emin olunur.</w:t>
            </w:r>
          </w:p>
        </w:tc>
      </w:tr>
      <w:tr w:rsidR="00D41106" w:rsidRPr="00D41106" w:rsidTr="00DC333E">
        <w:tc>
          <w:tcPr>
            <w:tcW w:w="9209" w:type="dxa"/>
          </w:tcPr>
          <w:p w:rsidR="00D41106" w:rsidRPr="00D41106" w:rsidRDefault="00D41106" w:rsidP="00DC333E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D41106">
              <w:t>Charge</w:t>
            </w:r>
            <w:proofErr w:type="spellEnd"/>
            <w:r w:rsidRPr="00D41106">
              <w:t xml:space="preserve"> düğmesi ile cihaz, elektrik akımı vermeye (yükleme işlemi) hazır hale getirilir. Elektrotlar sadece hastanın göğsünde iken şarj edilmelidir.</w:t>
            </w:r>
          </w:p>
        </w:tc>
      </w:tr>
      <w:tr w:rsidR="00D41106" w:rsidRPr="00D41106" w:rsidTr="00DC333E">
        <w:tc>
          <w:tcPr>
            <w:tcW w:w="9209" w:type="dxa"/>
          </w:tcPr>
          <w:p w:rsidR="00D41106" w:rsidRPr="00D41106" w:rsidRDefault="00D41106" w:rsidP="00DC333E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D41106">
              <w:t>Defibrilatör</w:t>
            </w:r>
            <w:proofErr w:type="spellEnd"/>
            <w:r w:rsidRPr="00D41106">
              <w:t xml:space="preserve"> şarj olunca </w:t>
            </w:r>
            <w:proofErr w:type="spellStart"/>
            <w:r w:rsidRPr="00D41106">
              <w:t>bip</w:t>
            </w:r>
            <w:proofErr w:type="spellEnd"/>
            <w:r w:rsidRPr="00D41106">
              <w:t xml:space="preserve"> sesi gelecektir.</w:t>
            </w:r>
          </w:p>
        </w:tc>
      </w:tr>
      <w:tr w:rsidR="00D41106" w:rsidRPr="00D41106" w:rsidTr="00DC333E">
        <w:tc>
          <w:tcPr>
            <w:tcW w:w="9209" w:type="dxa"/>
          </w:tcPr>
          <w:p w:rsidR="00D41106" w:rsidRPr="00D41106" w:rsidRDefault="00D41106" w:rsidP="00DC333E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D41106">
              <w:t>Defibrilasyon</w:t>
            </w:r>
            <w:proofErr w:type="spellEnd"/>
            <w:r w:rsidRPr="00D41106">
              <w:t xml:space="preserve"> sırasında kullanılan yüksek enerji, normal insanlarda </w:t>
            </w:r>
            <w:proofErr w:type="spellStart"/>
            <w:r w:rsidRPr="00D41106">
              <w:t>fibrilasyona</w:t>
            </w:r>
            <w:proofErr w:type="spellEnd"/>
            <w:r w:rsidRPr="00D41106">
              <w:t xml:space="preserve"> yol açabileceğinden </w:t>
            </w:r>
            <w:proofErr w:type="spellStart"/>
            <w:r w:rsidRPr="00D41106">
              <w:t>defibrilatörü</w:t>
            </w:r>
            <w:proofErr w:type="spellEnd"/>
            <w:r w:rsidRPr="00D41106">
              <w:t xml:space="preserve"> kullanan kişi CPR ekibini enerji temasından korumalıdır. Bu amaçla uygulayıcı, çevre ve giysilerin kuruluğundan ve hastaya temas olmadığından emin olmalıdır. Her bir şok uygulamasından önce</w:t>
            </w:r>
            <w:r w:rsidR="00CB348D">
              <w:t>,</w:t>
            </w:r>
            <w:r w:rsidRPr="00D41106">
              <w:t xml:space="preserve"> şarj sonrasında güçlü bir sesle </w:t>
            </w:r>
            <w:proofErr w:type="spellStart"/>
            <w:r w:rsidRPr="00D41106">
              <w:t>defibrilasyonu</w:t>
            </w:r>
            <w:proofErr w:type="spellEnd"/>
            <w:r w:rsidRPr="00D41106">
              <w:t xml:space="preserve"> uygula</w:t>
            </w:r>
            <w:r w:rsidR="006822AB">
              <w:t xml:space="preserve">yan kişi, tüm ekibi uyarmalıdır: </w:t>
            </w:r>
            <w:r w:rsidRPr="00D41106">
              <w:t xml:space="preserve"> “</w:t>
            </w:r>
            <w:r w:rsidRPr="00D41106">
              <w:rPr>
                <w:b/>
                <w:bCs/>
              </w:rPr>
              <w:t>3 deyince şoklayacağım”</w:t>
            </w:r>
            <w:r w:rsidR="006822AB">
              <w:rPr>
                <w:b/>
                <w:bCs/>
              </w:rPr>
              <w:t xml:space="preserve"> </w:t>
            </w:r>
            <w:r w:rsidR="00CE07CB">
              <w:rPr>
                <w:bCs/>
              </w:rPr>
              <w:t>şeklinde komut</w:t>
            </w:r>
            <w:r w:rsidR="00CB348D">
              <w:rPr>
                <w:bCs/>
              </w:rPr>
              <w:t xml:space="preserve"> verilmelidir</w:t>
            </w:r>
            <w:bookmarkStart w:id="0" w:name="_GoBack"/>
            <w:bookmarkEnd w:id="0"/>
            <w:r w:rsidR="006822AB" w:rsidRPr="006822AB">
              <w:rPr>
                <w:bCs/>
              </w:rPr>
              <w:t>.</w:t>
            </w:r>
          </w:p>
        </w:tc>
      </w:tr>
      <w:tr w:rsidR="00D41106" w:rsidRPr="00D41106" w:rsidTr="00DC333E">
        <w:tc>
          <w:tcPr>
            <w:tcW w:w="9209" w:type="dxa"/>
          </w:tcPr>
          <w:p w:rsidR="00D41106" w:rsidRPr="00D41106" w:rsidRDefault="00D41106" w:rsidP="00DC333E">
            <w:pPr>
              <w:pStyle w:val="ListeParagraf"/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D41106">
              <w:rPr>
                <w:b/>
              </w:rPr>
              <w:t>“1. Şoka başlıyorum, b</w:t>
            </w:r>
            <w:r w:rsidRPr="00D41106">
              <w:rPr>
                <w:b/>
                <w:bCs/>
              </w:rPr>
              <w:t>en hazırım</w:t>
            </w:r>
            <w:r w:rsidRPr="00D41106">
              <w:rPr>
                <w:b/>
              </w:rPr>
              <w:t>”</w:t>
            </w:r>
            <w:r w:rsidRPr="00D41106">
              <w:t xml:space="preserve"> sedye, </w:t>
            </w:r>
            <w:proofErr w:type="gramStart"/>
            <w:r w:rsidRPr="00D41106">
              <w:t>ekipman</w:t>
            </w:r>
            <w:proofErr w:type="gramEnd"/>
            <w:r w:rsidRPr="00D41106">
              <w:t xml:space="preserve"> ve hasta ile temasının olmadığından emin olunur.</w:t>
            </w:r>
          </w:p>
        </w:tc>
      </w:tr>
      <w:tr w:rsidR="00D41106" w:rsidRPr="00D41106" w:rsidTr="00DC333E">
        <w:tc>
          <w:tcPr>
            <w:tcW w:w="9209" w:type="dxa"/>
          </w:tcPr>
          <w:p w:rsidR="00D41106" w:rsidRPr="00D41106" w:rsidRDefault="00D41106" w:rsidP="00DC333E">
            <w:pPr>
              <w:pStyle w:val="ListeParagraf"/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D41106">
              <w:rPr>
                <w:b/>
                <w:bCs/>
              </w:rPr>
              <w:t>“2. Siz de çekilin</w:t>
            </w:r>
            <w:r w:rsidRPr="00D41106">
              <w:t xml:space="preserve">” hasta ve sedyeye hiç kimsenin dokunmadığından emin olunur. </w:t>
            </w:r>
          </w:p>
        </w:tc>
      </w:tr>
      <w:tr w:rsidR="00D41106" w:rsidRPr="00D41106" w:rsidTr="00DC333E">
        <w:tc>
          <w:tcPr>
            <w:tcW w:w="9209" w:type="dxa"/>
          </w:tcPr>
          <w:p w:rsidR="00D41106" w:rsidRPr="00D41106" w:rsidRDefault="00D41106" w:rsidP="00DC333E">
            <w:pPr>
              <w:pStyle w:val="ListeParagraf"/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276" w:lineRule="auto"/>
            </w:pPr>
            <w:r w:rsidRPr="00D41106">
              <w:rPr>
                <w:b/>
                <w:bCs/>
              </w:rPr>
              <w:t>“3.  Herkes hazır</w:t>
            </w:r>
            <w:r w:rsidRPr="00D41106">
              <w:rPr>
                <w:b/>
              </w:rPr>
              <w:t>”</w:t>
            </w:r>
            <w:r w:rsidRPr="00D41106">
              <w:t xml:space="preserve"> şok uygulamadan önce bir kez daha kontrol edilir.</w:t>
            </w:r>
          </w:p>
        </w:tc>
      </w:tr>
      <w:tr w:rsidR="00D41106" w:rsidRPr="00D41106" w:rsidTr="00DC333E">
        <w:tc>
          <w:tcPr>
            <w:tcW w:w="9209" w:type="dxa"/>
          </w:tcPr>
          <w:p w:rsidR="00D41106" w:rsidRPr="00D41106" w:rsidRDefault="00D41106" w:rsidP="00DC333E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</w:pPr>
            <w:r w:rsidRPr="00D41106">
              <w:t xml:space="preserve"> Elektrotlar göğüs duvarına sıkıca bastırılıp 10 kg’lık kuvvet uygulanır.</w:t>
            </w:r>
          </w:p>
        </w:tc>
      </w:tr>
      <w:tr w:rsidR="00D41106" w:rsidRPr="00D41106" w:rsidTr="00DC333E">
        <w:tc>
          <w:tcPr>
            <w:tcW w:w="9209" w:type="dxa"/>
          </w:tcPr>
          <w:p w:rsidR="00D41106" w:rsidRPr="00D41106" w:rsidRDefault="00D41106" w:rsidP="00DC333E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</w:pPr>
            <w:r w:rsidRPr="00D41106">
              <w:t xml:space="preserve"> Her iki elektrot üzerinde bulunan </w:t>
            </w:r>
            <w:proofErr w:type="spellStart"/>
            <w:r w:rsidRPr="00D41106">
              <w:t>discharge</w:t>
            </w:r>
            <w:proofErr w:type="spellEnd"/>
            <w:r w:rsidRPr="00D41106">
              <w:t xml:space="preserve"> düğmesine, aynı anda basılır.</w:t>
            </w:r>
          </w:p>
        </w:tc>
      </w:tr>
      <w:tr w:rsidR="00D41106" w:rsidRPr="00D41106" w:rsidTr="00DC333E">
        <w:tc>
          <w:tcPr>
            <w:tcW w:w="9209" w:type="dxa"/>
          </w:tcPr>
          <w:p w:rsidR="00D41106" w:rsidRPr="00D41106" w:rsidRDefault="00D41106" w:rsidP="00DC333E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</w:pPr>
            <w:r w:rsidRPr="00D41106">
              <w:lastRenderedPageBreak/>
              <w:t xml:space="preserve"> Şok verildikten hemen sonra 5 </w:t>
            </w:r>
            <w:proofErr w:type="spellStart"/>
            <w:r w:rsidRPr="00D41106">
              <w:t>siklus</w:t>
            </w:r>
            <w:proofErr w:type="spellEnd"/>
            <w:r w:rsidRPr="00D41106">
              <w:t xml:space="preserve"> CPR uygulanır.</w:t>
            </w:r>
          </w:p>
        </w:tc>
      </w:tr>
      <w:tr w:rsidR="00D41106" w:rsidRPr="00D41106" w:rsidTr="00DC333E">
        <w:tc>
          <w:tcPr>
            <w:tcW w:w="9209" w:type="dxa"/>
          </w:tcPr>
          <w:p w:rsidR="00D41106" w:rsidRPr="00D41106" w:rsidRDefault="00D41106" w:rsidP="00DC333E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</w:pPr>
            <w:r w:rsidRPr="00D41106">
              <w:t xml:space="preserve"> Monitörden ritim takibi yapılır ve dolaşım kontrol edilir.</w:t>
            </w:r>
          </w:p>
        </w:tc>
      </w:tr>
      <w:tr w:rsidR="00D41106" w:rsidRPr="00D41106" w:rsidTr="00DC333E">
        <w:tc>
          <w:tcPr>
            <w:tcW w:w="9209" w:type="dxa"/>
          </w:tcPr>
          <w:p w:rsidR="00D41106" w:rsidRPr="00D41106" w:rsidRDefault="00D41106" w:rsidP="00DC333E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D41106">
              <w:t xml:space="preserve"> Ritim, nabızsız VT ya da VF ise 2. </w:t>
            </w:r>
            <w:proofErr w:type="spellStart"/>
            <w:r w:rsidRPr="00D41106">
              <w:t>defibrilasyon</w:t>
            </w:r>
            <w:proofErr w:type="spellEnd"/>
            <w:r w:rsidRPr="00D41106">
              <w:t xml:space="preserve"> uygulanır. 2. </w:t>
            </w:r>
            <w:proofErr w:type="spellStart"/>
            <w:r w:rsidRPr="00D41106">
              <w:t>defibrilasyon</w:t>
            </w:r>
            <w:proofErr w:type="spellEnd"/>
            <w:r w:rsidRPr="00D41106">
              <w:t xml:space="preserve">, </w:t>
            </w:r>
            <w:proofErr w:type="spellStart"/>
            <w:r w:rsidRPr="00D41106">
              <w:t>bifazik</w:t>
            </w:r>
            <w:proofErr w:type="spellEnd"/>
            <w:r w:rsidRPr="00D41106">
              <w:t xml:space="preserve"> </w:t>
            </w:r>
            <w:proofErr w:type="spellStart"/>
            <w:r w:rsidRPr="00D41106">
              <w:t>defibrilatör</w:t>
            </w:r>
            <w:proofErr w:type="spellEnd"/>
            <w:r w:rsidRPr="00D41106">
              <w:t xml:space="preserve"> için 120-360 J, </w:t>
            </w:r>
            <w:proofErr w:type="spellStart"/>
            <w:r w:rsidRPr="00D41106">
              <w:t>monofazik</w:t>
            </w:r>
            <w:proofErr w:type="spellEnd"/>
            <w:r w:rsidRPr="00D41106">
              <w:t xml:space="preserve"> </w:t>
            </w:r>
            <w:proofErr w:type="spellStart"/>
            <w:r w:rsidRPr="00D41106">
              <w:t>defibrilatör</w:t>
            </w:r>
            <w:proofErr w:type="spellEnd"/>
            <w:r w:rsidRPr="00D41106">
              <w:t xml:space="preserve"> için 360 J enerji seviyesi seçilerek uygulanır. </w:t>
            </w:r>
            <w:proofErr w:type="spellStart"/>
            <w:r w:rsidRPr="00D41106">
              <w:t>Defibrilasyon</w:t>
            </w:r>
            <w:proofErr w:type="spellEnd"/>
            <w:r w:rsidRPr="00D41106">
              <w:t xml:space="preserve"> 3-5 kez tekrarlanabilir.</w:t>
            </w:r>
          </w:p>
        </w:tc>
      </w:tr>
      <w:tr w:rsidR="00D41106" w:rsidRPr="00D41106" w:rsidTr="00DC333E">
        <w:tc>
          <w:tcPr>
            <w:tcW w:w="9209" w:type="dxa"/>
          </w:tcPr>
          <w:p w:rsidR="00D41106" w:rsidRPr="00D41106" w:rsidRDefault="00D41106" w:rsidP="00DC333E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D41106">
              <w:t>Defibrilatör</w:t>
            </w:r>
            <w:proofErr w:type="spellEnd"/>
            <w:r w:rsidRPr="00D41106">
              <w:t xml:space="preserve">, her an kullanıma hazır halde bulundurulmalıdır. Kullanım kılavuzuna uygun olarak periyodik bakımı yaptırılmalıdır. </w:t>
            </w:r>
          </w:p>
        </w:tc>
      </w:tr>
      <w:tr w:rsidR="00D41106" w:rsidRPr="00D41106" w:rsidTr="00DC333E">
        <w:tc>
          <w:tcPr>
            <w:tcW w:w="9209" w:type="dxa"/>
          </w:tcPr>
          <w:p w:rsidR="00D41106" w:rsidRPr="00D41106" w:rsidRDefault="00D41106" w:rsidP="00DC333E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D41106">
              <w:t>Cihazın bataryası her zaman dolu olmalıdır. Şarj seviyesi sık sık kontrol edilmeli, kullanımdan hemen sonra şarj edilmelidir.</w:t>
            </w:r>
          </w:p>
        </w:tc>
      </w:tr>
      <w:tr w:rsidR="00D41106" w:rsidRPr="00D41106" w:rsidTr="00DC333E">
        <w:tc>
          <w:tcPr>
            <w:tcW w:w="9209" w:type="dxa"/>
          </w:tcPr>
          <w:p w:rsidR="00D41106" w:rsidRPr="00D41106" w:rsidRDefault="00D41106" w:rsidP="00DC333E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D41106">
              <w:t>Kablolarda ve elektrotlarda sıklıkla aşınma olabilir. Elektrotlar, kablolar, düğmeler, monitör vb. sağlam olmalıdır. EKG kâğıdı takılı bulunmalıdır.</w:t>
            </w:r>
          </w:p>
        </w:tc>
      </w:tr>
      <w:tr w:rsidR="00D41106" w:rsidRPr="00D41106" w:rsidTr="00DC333E">
        <w:tc>
          <w:tcPr>
            <w:tcW w:w="9209" w:type="dxa"/>
          </w:tcPr>
          <w:p w:rsidR="00D41106" w:rsidRPr="00D41106" w:rsidRDefault="00D41106" w:rsidP="00DC333E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D41106">
              <w:t xml:space="preserve">Elektrotlar, kullanımdan hemen sonra temizlenip cihaz üzerindeki yuvasına yerleştirilmelidir. Aksi takdirde elektrotlara sürülen sıvı jel katılaşır, bir sonraki kullanımda kıvılcım oluşmasına veya </w:t>
            </w:r>
            <w:proofErr w:type="spellStart"/>
            <w:r w:rsidRPr="00D41106">
              <w:t>transtorasik</w:t>
            </w:r>
            <w:proofErr w:type="spellEnd"/>
            <w:r w:rsidRPr="00D41106">
              <w:t xml:space="preserve"> </w:t>
            </w:r>
            <w:proofErr w:type="spellStart"/>
            <w:r w:rsidRPr="00D41106">
              <w:t>impedansın</w:t>
            </w:r>
            <w:proofErr w:type="spellEnd"/>
            <w:r w:rsidRPr="00D41106">
              <w:t xml:space="preserve"> artmasına neden olabilir.</w:t>
            </w:r>
          </w:p>
        </w:tc>
      </w:tr>
    </w:tbl>
    <w:p w:rsidR="00FD3321" w:rsidRDefault="00C219FB" w:rsidP="00A136DC">
      <w:pPr>
        <w:jc w:val="center"/>
        <w:rPr>
          <w:rFonts w:ascii="Times New Roman" w:hAnsi="Times New Roman" w:cs="Times New Roman"/>
          <w:sz w:val="24"/>
          <w:szCs w:val="24"/>
        </w:rPr>
      </w:pPr>
      <w:r w:rsidRPr="00DA729A">
        <w:rPr>
          <w:noProof/>
          <w:sz w:val="24"/>
          <w:szCs w:val="24"/>
          <w:lang w:eastAsia="tr-TR"/>
        </w:rPr>
        <w:drawing>
          <wp:inline distT="0" distB="0" distL="0" distR="0" wp14:anchorId="002B0647" wp14:editId="0D9C7A55">
            <wp:extent cx="4211955" cy="3158967"/>
            <wp:effectExtent l="0" t="0" r="0" b="3810"/>
            <wp:docPr id="1" name="Resim 1" descr="nabÄ±zsÄ±z ventrikÃ¼ler taÅikardi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bÄ±zsÄ±z ventrikÃ¼ler taÅikardi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042" cy="3202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A03" w:rsidRDefault="00DA7A03" w:rsidP="00A136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1106" w:rsidRDefault="00D41106" w:rsidP="00A136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ŞEKİL 1: </w:t>
      </w:r>
      <w:proofErr w:type="spellStart"/>
      <w:r>
        <w:rPr>
          <w:rFonts w:ascii="Times New Roman" w:hAnsi="Times New Roman" w:cs="Times New Roman"/>
          <w:sz w:val="24"/>
          <w:szCs w:val="24"/>
        </w:rPr>
        <w:t>Ventriküler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fibrilasyon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Nabızsız </w:t>
      </w:r>
      <w:proofErr w:type="spellStart"/>
      <w:r>
        <w:rPr>
          <w:rFonts w:ascii="Times New Roman" w:hAnsi="Times New Roman" w:cs="Times New Roman"/>
          <w:sz w:val="24"/>
          <w:szCs w:val="24"/>
        </w:rPr>
        <w:t>ventriküler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taşikardi </w:t>
      </w:r>
    </w:p>
    <w:p w:rsidR="00D41106" w:rsidRDefault="00D41106" w:rsidP="00A136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1106" w:rsidRDefault="00D41106" w:rsidP="00A136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1106" w:rsidRDefault="00D41106" w:rsidP="00A136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7A03" w:rsidRDefault="00DA7A03" w:rsidP="00A136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7A03" w:rsidRPr="00A136DC" w:rsidRDefault="00DA7A03" w:rsidP="00A136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333E" w:rsidRDefault="00DC333E" w:rsidP="004359D1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C333E" w:rsidRDefault="00DC333E" w:rsidP="004359D1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C333E" w:rsidRDefault="00DC333E" w:rsidP="004359D1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D3321" w:rsidRDefault="008807FD" w:rsidP="004359D1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25A0">
        <w:rPr>
          <w:rFonts w:ascii="Times New Roman" w:hAnsi="Times New Roman" w:cs="Times New Roman"/>
          <w:b/>
          <w:bCs/>
          <w:iCs/>
          <w:sz w:val="24"/>
          <w:szCs w:val="24"/>
        </w:rPr>
        <w:t>OTOMATİK EKSTERNAL DEFİBRİLASYON</w:t>
      </w:r>
      <w:r w:rsidR="00C525A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C525A0" w:rsidRPr="00C525A0">
        <w:rPr>
          <w:rFonts w:ascii="Times New Roman" w:hAnsi="Times New Roman" w:cs="Times New Roman"/>
          <w:b/>
          <w:bCs/>
          <w:iCs/>
          <w:sz w:val="24"/>
          <w:szCs w:val="24"/>
        </w:rPr>
        <w:t>(</w:t>
      </w:r>
      <w:r w:rsidR="00C525A0">
        <w:rPr>
          <w:rFonts w:ascii="Times New Roman" w:hAnsi="Times New Roman" w:cs="Times New Roman"/>
          <w:b/>
          <w:bCs/>
          <w:iCs/>
          <w:sz w:val="24"/>
          <w:szCs w:val="24"/>
        </w:rPr>
        <w:t>OED)</w:t>
      </w:r>
    </w:p>
    <w:p w:rsidR="00DC333E" w:rsidRPr="00C525A0" w:rsidRDefault="00DC333E" w:rsidP="004359D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D41106" w:rsidRPr="00D41106" w:rsidTr="00DC333E">
        <w:tc>
          <w:tcPr>
            <w:tcW w:w="8783" w:type="dxa"/>
          </w:tcPr>
          <w:p w:rsidR="00D41106" w:rsidRPr="00D41106" w:rsidRDefault="00D41106" w:rsidP="00DC333E">
            <w:pPr>
              <w:pStyle w:val="ListeParagraf"/>
              <w:numPr>
                <w:ilvl w:val="0"/>
                <w:numId w:val="6"/>
              </w:numPr>
              <w:spacing w:line="276" w:lineRule="auto"/>
              <w:jc w:val="both"/>
            </w:pPr>
            <w:r w:rsidRPr="00D41106">
              <w:t>Kazazede ve çevrede bulunanların güvenli olduğundan emin olunur.</w:t>
            </w:r>
          </w:p>
        </w:tc>
      </w:tr>
      <w:tr w:rsidR="00D41106" w:rsidRPr="00D41106" w:rsidTr="00DC333E">
        <w:tc>
          <w:tcPr>
            <w:tcW w:w="8783" w:type="dxa"/>
          </w:tcPr>
          <w:p w:rsidR="00D41106" w:rsidRPr="00D41106" w:rsidRDefault="00D41106" w:rsidP="00DC333E">
            <w:pPr>
              <w:pStyle w:val="ListeParagraf"/>
              <w:numPr>
                <w:ilvl w:val="0"/>
                <w:numId w:val="6"/>
              </w:numPr>
              <w:spacing w:line="276" w:lineRule="auto"/>
              <w:jc w:val="both"/>
            </w:pPr>
            <w:r w:rsidRPr="00D41106">
              <w:t>Eğer kazazedenin bilinci kapalı ve normal olarak solumuyorsa, OED temini ve ambulans çağrılması için birisi gönderilir.</w:t>
            </w:r>
          </w:p>
        </w:tc>
      </w:tr>
      <w:tr w:rsidR="00D41106" w:rsidRPr="00D41106" w:rsidTr="00DC333E">
        <w:tc>
          <w:tcPr>
            <w:tcW w:w="8783" w:type="dxa"/>
          </w:tcPr>
          <w:p w:rsidR="00D41106" w:rsidRPr="00D41106" w:rsidRDefault="00DA7A03" w:rsidP="00DC333E">
            <w:pPr>
              <w:pStyle w:val="ListeParagraf"/>
              <w:numPr>
                <w:ilvl w:val="0"/>
                <w:numId w:val="6"/>
              </w:numPr>
              <w:spacing w:line="276" w:lineRule="auto"/>
              <w:jc w:val="both"/>
            </w:pPr>
            <w:r>
              <w:t>Temel yaşam destek</w:t>
            </w:r>
            <w:r w:rsidR="00D41106" w:rsidRPr="00D41106">
              <w:t xml:space="preserve"> kılavuzuna göre </w:t>
            </w:r>
            <w:proofErr w:type="spellStart"/>
            <w:r w:rsidR="00D41106" w:rsidRPr="00D41106">
              <w:t>CPR’a</w:t>
            </w:r>
            <w:proofErr w:type="spellEnd"/>
            <w:r w:rsidR="00D41106" w:rsidRPr="00D41106">
              <w:t xml:space="preserve"> başlanır.</w:t>
            </w:r>
          </w:p>
        </w:tc>
      </w:tr>
      <w:tr w:rsidR="00D41106" w:rsidRPr="00D41106" w:rsidTr="00DC333E">
        <w:tc>
          <w:tcPr>
            <w:tcW w:w="8783" w:type="dxa"/>
          </w:tcPr>
          <w:p w:rsidR="00D41106" w:rsidRPr="00D41106" w:rsidRDefault="00DA7A03" w:rsidP="00DC333E">
            <w:pPr>
              <w:pStyle w:val="ListeParagraf"/>
              <w:numPr>
                <w:ilvl w:val="0"/>
                <w:numId w:val="6"/>
              </w:numPr>
              <w:spacing w:line="276" w:lineRule="auto"/>
              <w:jc w:val="both"/>
            </w:pPr>
            <w:r>
              <w:t>OED gelir gelmez cihaz</w:t>
            </w:r>
            <w:r w:rsidR="00D41106" w:rsidRPr="00D41106">
              <w:t xml:space="preserve"> çalıştırılır.</w:t>
            </w:r>
          </w:p>
        </w:tc>
      </w:tr>
      <w:tr w:rsidR="00D41106" w:rsidRPr="00D41106" w:rsidTr="00DC333E">
        <w:tc>
          <w:tcPr>
            <w:tcW w:w="8783" w:type="dxa"/>
          </w:tcPr>
          <w:p w:rsidR="00D41106" w:rsidRPr="00D41106" w:rsidRDefault="00D41106" w:rsidP="00DC333E">
            <w:pPr>
              <w:pStyle w:val="ListeParagraf"/>
              <w:numPr>
                <w:ilvl w:val="0"/>
                <w:numId w:val="6"/>
              </w:numPr>
              <w:spacing w:line="276" w:lineRule="auto"/>
              <w:jc w:val="both"/>
            </w:pPr>
            <w:r w:rsidRPr="00D41106">
              <w:t xml:space="preserve">OED </w:t>
            </w:r>
            <w:proofErr w:type="spellStart"/>
            <w:r w:rsidRPr="00D41106">
              <w:t>pedleri</w:t>
            </w:r>
            <w:proofErr w:type="spellEnd"/>
            <w:r w:rsidRPr="00D41106">
              <w:t xml:space="preserve"> paketinden çıkarılıp hastaya yapıştırılır. </w:t>
            </w:r>
            <w:proofErr w:type="spellStart"/>
            <w:r w:rsidRPr="00D41106">
              <w:t>Pedlerin</w:t>
            </w:r>
            <w:proofErr w:type="spellEnd"/>
            <w:r w:rsidRPr="00D41106">
              <w:t xml:space="preserve"> üzerinde hastaya nasıl yapıştırılacakları da gösterilmiştir.</w:t>
            </w:r>
          </w:p>
        </w:tc>
      </w:tr>
      <w:tr w:rsidR="00D41106" w:rsidRPr="00D41106" w:rsidTr="00DC333E">
        <w:tc>
          <w:tcPr>
            <w:tcW w:w="8783" w:type="dxa"/>
          </w:tcPr>
          <w:p w:rsidR="00D41106" w:rsidRPr="00D41106" w:rsidRDefault="00D41106" w:rsidP="00DC333E">
            <w:pPr>
              <w:pStyle w:val="ListeParagraf"/>
              <w:numPr>
                <w:ilvl w:val="0"/>
                <w:numId w:val="6"/>
              </w:numPr>
              <w:spacing w:line="276" w:lineRule="auto"/>
              <w:jc w:val="both"/>
            </w:pPr>
            <w:r w:rsidRPr="00D41106">
              <w:t>Eğer birden fazla kurtarıcı varsa bu işle</w:t>
            </w:r>
            <w:r w:rsidR="00DA7A03">
              <w:t xml:space="preserve">m yapılırken </w:t>
            </w:r>
            <w:proofErr w:type="spellStart"/>
            <w:r w:rsidR="00DA7A03">
              <w:t>CPR’a</w:t>
            </w:r>
            <w:proofErr w:type="spellEnd"/>
            <w:r w:rsidR="00DA7A03">
              <w:t xml:space="preserve"> devam edilir.</w:t>
            </w:r>
            <w:r w:rsidRPr="00D41106">
              <w:t xml:space="preserve"> </w:t>
            </w:r>
          </w:p>
        </w:tc>
      </w:tr>
      <w:tr w:rsidR="00D41106" w:rsidRPr="00D41106" w:rsidTr="00DC333E">
        <w:tc>
          <w:tcPr>
            <w:tcW w:w="8783" w:type="dxa"/>
          </w:tcPr>
          <w:p w:rsidR="00D41106" w:rsidRPr="00D41106" w:rsidRDefault="00DA7A03" w:rsidP="00DC333E">
            <w:pPr>
              <w:pStyle w:val="ListeParagraf"/>
              <w:numPr>
                <w:ilvl w:val="0"/>
                <w:numId w:val="6"/>
              </w:numPr>
              <w:spacing w:line="276" w:lineRule="auto"/>
              <w:jc w:val="both"/>
            </w:pPr>
            <w:r>
              <w:t>Sözlü ve görsel uyarılar</w:t>
            </w:r>
            <w:r w:rsidR="00D41106" w:rsidRPr="00D41106">
              <w:t xml:space="preserve"> takip edilir. </w:t>
            </w:r>
          </w:p>
        </w:tc>
      </w:tr>
      <w:tr w:rsidR="00D41106" w:rsidRPr="00D41106" w:rsidTr="00DC333E">
        <w:tc>
          <w:tcPr>
            <w:tcW w:w="8783" w:type="dxa"/>
          </w:tcPr>
          <w:p w:rsidR="00D41106" w:rsidRPr="00D41106" w:rsidRDefault="00D41106" w:rsidP="00DC333E">
            <w:pPr>
              <w:pStyle w:val="ListeParagraf"/>
              <w:numPr>
                <w:ilvl w:val="0"/>
                <w:numId w:val="6"/>
              </w:numPr>
              <w:spacing w:line="276" w:lineRule="auto"/>
              <w:jc w:val="both"/>
            </w:pPr>
            <w:r w:rsidRPr="00D41106">
              <w:t>OED ritim analizi yaparken hiç kimsenin kazazedeye dokunmadığından emin olunur.</w:t>
            </w:r>
          </w:p>
        </w:tc>
      </w:tr>
      <w:tr w:rsidR="00D41106" w:rsidRPr="00D41106" w:rsidTr="00DC333E">
        <w:tc>
          <w:tcPr>
            <w:tcW w:w="8783" w:type="dxa"/>
          </w:tcPr>
          <w:p w:rsidR="00D41106" w:rsidRPr="00D41106" w:rsidRDefault="00D41106" w:rsidP="00DC333E">
            <w:pPr>
              <w:pStyle w:val="ListeParagraf"/>
              <w:numPr>
                <w:ilvl w:val="0"/>
                <w:numId w:val="6"/>
              </w:numPr>
              <w:spacing w:line="276" w:lineRule="auto"/>
              <w:jc w:val="both"/>
            </w:pPr>
            <w:r w:rsidRPr="00D41106">
              <w:t xml:space="preserve">Şok düğmesine tarif edildiği gibi basılır (tam otomatik </w:t>
            </w:r>
            <w:proofErr w:type="spellStart"/>
            <w:r w:rsidRPr="00D41106">
              <w:t>OED’ler</w:t>
            </w:r>
            <w:proofErr w:type="spellEnd"/>
            <w:r w:rsidRPr="00D41106">
              <w:t xml:space="preserve"> şoku otomatik olarak uygular)</w:t>
            </w:r>
            <w:r w:rsidR="00DC333E">
              <w:t>.</w:t>
            </w:r>
            <w:r w:rsidRPr="00D41106">
              <w:t xml:space="preserve"> </w:t>
            </w:r>
          </w:p>
        </w:tc>
      </w:tr>
      <w:tr w:rsidR="00D41106" w:rsidRPr="00D41106" w:rsidTr="00DC333E">
        <w:tc>
          <w:tcPr>
            <w:tcW w:w="8783" w:type="dxa"/>
          </w:tcPr>
          <w:p w:rsidR="00D41106" w:rsidRPr="00D41106" w:rsidRDefault="00D41106" w:rsidP="00DC333E">
            <w:pPr>
              <w:pStyle w:val="ListeParagraf"/>
              <w:numPr>
                <w:ilvl w:val="0"/>
                <w:numId w:val="6"/>
              </w:numPr>
              <w:spacing w:line="276" w:lineRule="auto"/>
              <w:jc w:val="both"/>
            </w:pPr>
            <w:r w:rsidRPr="00D41106">
              <w:t xml:space="preserve">Sesli/görsel uyarılar izlenerek devam edilir. </w:t>
            </w:r>
          </w:p>
        </w:tc>
      </w:tr>
      <w:tr w:rsidR="00D41106" w:rsidTr="00DC333E">
        <w:tc>
          <w:tcPr>
            <w:tcW w:w="8783" w:type="dxa"/>
          </w:tcPr>
          <w:p w:rsidR="00D41106" w:rsidRDefault="00D41106" w:rsidP="00DC333E">
            <w:pPr>
              <w:pStyle w:val="ListeParagraf"/>
              <w:numPr>
                <w:ilvl w:val="0"/>
                <w:numId w:val="6"/>
              </w:numPr>
              <w:spacing w:line="276" w:lineRule="auto"/>
              <w:jc w:val="both"/>
            </w:pPr>
            <w:r w:rsidRPr="00D41106">
              <w:t xml:space="preserve">Eğer şok </w:t>
            </w:r>
            <w:proofErr w:type="spellStart"/>
            <w:r w:rsidRPr="00D41106">
              <w:t>endikasyonu</w:t>
            </w:r>
            <w:proofErr w:type="spellEnd"/>
            <w:r w:rsidRPr="00D41106">
              <w:t xml:space="preserve"> yoksa hemen </w:t>
            </w:r>
            <w:proofErr w:type="spellStart"/>
            <w:r w:rsidRPr="00D41106">
              <w:t>CPR’a</w:t>
            </w:r>
            <w:proofErr w:type="spellEnd"/>
            <w:r w:rsidRPr="00D41106">
              <w:t xml:space="preserve"> 30 kompresyon:2 </w:t>
            </w:r>
            <w:proofErr w:type="spellStart"/>
            <w:r w:rsidRPr="00D41106">
              <w:t>ventilasyon</w:t>
            </w:r>
            <w:proofErr w:type="spellEnd"/>
            <w:r w:rsidRPr="00D41106">
              <w:t xml:space="preserve"> oranında yeniden başlanılır. Sesli/görsel uyarıların yönlendirdiği şekilde devam edilir.</w:t>
            </w:r>
          </w:p>
        </w:tc>
      </w:tr>
    </w:tbl>
    <w:p w:rsidR="00515A1C" w:rsidRDefault="00515A1C" w:rsidP="00DC333E">
      <w:pPr>
        <w:spacing w:line="276" w:lineRule="auto"/>
        <w:jc w:val="both"/>
      </w:pPr>
    </w:p>
    <w:sectPr w:rsidR="00515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6EE2"/>
    <w:multiLevelType w:val="hybridMultilevel"/>
    <w:tmpl w:val="618A7CA0"/>
    <w:lvl w:ilvl="0" w:tplc="A5E6D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D6E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9EE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6EE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4A9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0ED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CAA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C42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C48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D1E11CD"/>
    <w:multiLevelType w:val="hybridMultilevel"/>
    <w:tmpl w:val="798ECA62"/>
    <w:lvl w:ilvl="0" w:tplc="ED78D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10615D"/>
    <w:multiLevelType w:val="multilevel"/>
    <w:tmpl w:val="D6CC0B1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tr-TR" w:eastAsia="tr-TR" w:bidi="tr-T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4E4746B"/>
    <w:multiLevelType w:val="hybridMultilevel"/>
    <w:tmpl w:val="EA44C7E8"/>
    <w:lvl w:ilvl="0" w:tplc="ED78D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F17D9"/>
    <w:multiLevelType w:val="hybridMultilevel"/>
    <w:tmpl w:val="4C7EDBC4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93F8FE7C">
      <w:start w:val="5"/>
      <w:numFmt w:val="bullet"/>
      <w:lvlText w:val="•"/>
      <w:lvlJc w:val="left"/>
      <w:pPr>
        <w:ind w:left="1363" w:hanging="360"/>
      </w:pPr>
      <w:rPr>
        <w:rFonts w:ascii="Times New Roman" w:eastAsiaTheme="minorHAnsi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6BAD1EA3"/>
    <w:multiLevelType w:val="multilevel"/>
    <w:tmpl w:val="2D7E9294"/>
    <w:lvl w:ilvl="0">
      <w:start w:val="6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tr-TR" w:eastAsia="tr-TR" w:bidi="tr-T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76F4509D"/>
    <w:multiLevelType w:val="hybridMultilevel"/>
    <w:tmpl w:val="6E72A5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E7C14"/>
    <w:multiLevelType w:val="hybridMultilevel"/>
    <w:tmpl w:val="4BDE1BB0"/>
    <w:lvl w:ilvl="0" w:tplc="041F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7"/>
  </w:num>
  <w:num w:numId="2">
    <w:abstractNumId w:val="5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A55"/>
    <w:rsid w:val="00021E9C"/>
    <w:rsid w:val="00024108"/>
    <w:rsid w:val="000A752B"/>
    <w:rsid w:val="00121D1B"/>
    <w:rsid w:val="00137D3A"/>
    <w:rsid w:val="001A4FAA"/>
    <w:rsid w:val="0025620B"/>
    <w:rsid w:val="00312253"/>
    <w:rsid w:val="00354BFD"/>
    <w:rsid w:val="00376BC1"/>
    <w:rsid w:val="003A2E91"/>
    <w:rsid w:val="003B5CF7"/>
    <w:rsid w:val="00422311"/>
    <w:rsid w:val="00423448"/>
    <w:rsid w:val="004359D1"/>
    <w:rsid w:val="004437CB"/>
    <w:rsid w:val="00515A1C"/>
    <w:rsid w:val="005371AB"/>
    <w:rsid w:val="0056040D"/>
    <w:rsid w:val="00595C45"/>
    <w:rsid w:val="00597FA3"/>
    <w:rsid w:val="005C372F"/>
    <w:rsid w:val="00606BE8"/>
    <w:rsid w:val="00642DBB"/>
    <w:rsid w:val="0067484A"/>
    <w:rsid w:val="006822AB"/>
    <w:rsid w:val="006D3E6A"/>
    <w:rsid w:val="00717974"/>
    <w:rsid w:val="0075569E"/>
    <w:rsid w:val="007B27AA"/>
    <w:rsid w:val="007D3A8C"/>
    <w:rsid w:val="008807FD"/>
    <w:rsid w:val="008A515F"/>
    <w:rsid w:val="008D6055"/>
    <w:rsid w:val="0096698A"/>
    <w:rsid w:val="009A7A38"/>
    <w:rsid w:val="00A136DC"/>
    <w:rsid w:val="00A73044"/>
    <w:rsid w:val="00A96F7B"/>
    <w:rsid w:val="00AC3A55"/>
    <w:rsid w:val="00B03FF3"/>
    <w:rsid w:val="00B2511F"/>
    <w:rsid w:val="00B31392"/>
    <w:rsid w:val="00B47111"/>
    <w:rsid w:val="00C07DA4"/>
    <w:rsid w:val="00C219FB"/>
    <w:rsid w:val="00C525A0"/>
    <w:rsid w:val="00C53060"/>
    <w:rsid w:val="00CB348D"/>
    <w:rsid w:val="00CD17F4"/>
    <w:rsid w:val="00CE07CB"/>
    <w:rsid w:val="00D41106"/>
    <w:rsid w:val="00DA729A"/>
    <w:rsid w:val="00DA7A03"/>
    <w:rsid w:val="00DC333E"/>
    <w:rsid w:val="00DE142F"/>
    <w:rsid w:val="00E00A55"/>
    <w:rsid w:val="00E01673"/>
    <w:rsid w:val="00E35999"/>
    <w:rsid w:val="00E51C47"/>
    <w:rsid w:val="00E64D4B"/>
    <w:rsid w:val="00EC4081"/>
    <w:rsid w:val="00F447CA"/>
    <w:rsid w:val="00FC51B4"/>
    <w:rsid w:val="00FD3321"/>
    <w:rsid w:val="00FD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8908D"/>
  <w15:chartTrackingRefBased/>
  <w15:docId w15:val="{A6FFE6BB-FDC8-4F1E-B6F0-3F1307A4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371A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D33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D41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4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9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ÇELİK</dc:creator>
  <cp:keywords/>
  <dc:description/>
  <cp:lastModifiedBy>FATMA ÇELİK</cp:lastModifiedBy>
  <cp:revision>22</cp:revision>
  <dcterms:created xsi:type="dcterms:W3CDTF">2019-09-06T07:30:00Z</dcterms:created>
  <dcterms:modified xsi:type="dcterms:W3CDTF">2019-09-13T17:30:00Z</dcterms:modified>
</cp:coreProperties>
</file>