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356" w:type="dxa"/>
        <w:tblInd w:w="-147" w:type="dxa"/>
        <w:tblLayout w:type="fixed"/>
        <w:tblLook w:val="04A0" w:firstRow="1" w:lastRow="0" w:firstColumn="1" w:lastColumn="0" w:noHBand="0" w:noVBand="1"/>
      </w:tblPr>
      <w:tblGrid>
        <w:gridCol w:w="236"/>
        <w:gridCol w:w="332"/>
        <w:gridCol w:w="2409"/>
        <w:gridCol w:w="142"/>
        <w:gridCol w:w="94"/>
        <w:gridCol w:w="898"/>
        <w:gridCol w:w="284"/>
        <w:gridCol w:w="3118"/>
        <w:gridCol w:w="142"/>
        <w:gridCol w:w="94"/>
        <w:gridCol w:w="1324"/>
        <w:gridCol w:w="283"/>
      </w:tblGrid>
      <w:tr w:rsidR="005D7F2E" w14:paraId="77CFD3E2" w14:textId="77777777" w:rsidTr="005D7F2E">
        <w:trPr>
          <w:trHeight w:val="454"/>
        </w:trPr>
        <w:tc>
          <w:tcPr>
            <w:tcW w:w="2977" w:type="dxa"/>
            <w:gridSpan w:val="3"/>
            <w:vAlign w:val="center"/>
          </w:tcPr>
          <w:p w14:paraId="77CFD3DF" w14:textId="77777777" w:rsidR="005D7F2E" w:rsidRPr="00FD3E55" w:rsidRDefault="00494808" w:rsidP="00AC4652">
            <w:pPr>
              <w:jc w:val="both"/>
            </w:pPr>
            <w:bookmarkStart w:id="0" w:name="_GoBack"/>
            <w:bookmarkEnd w:id="0"/>
            <w:r>
              <w:t>Değerlendirilen</w:t>
            </w:r>
            <w:r w:rsidR="005D7F2E">
              <w:t xml:space="preserve"> Birim</w:t>
            </w:r>
          </w:p>
        </w:tc>
        <w:tc>
          <w:tcPr>
            <w:tcW w:w="236" w:type="dxa"/>
            <w:gridSpan w:val="2"/>
            <w:vAlign w:val="center"/>
          </w:tcPr>
          <w:p w14:paraId="77CFD3E0" w14:textId="77777777" w:rsidR="005D7F2E" w:rsidRPr="00A774B4" w:rsidRDefault="005D7F2E" w:rsidP="00AC4652">
            <w:pPr>
              <w:jc w:val="both"/>
              <w:rPr>
                <w:b/>
              </w:rPr>
            </w:pPr>
            <w:r w:rsidRPr="00A774B4">
              <w:rPr>
                <w:b/>
              </w:rPr>
              <w:t>:</w:t>
            </w:r>
          </w:p>
        </w:tc>
        <w:tc>
          <w:tcPr>
            <w:tcW w:w="6143" w:type="dxa"/>
            <w:gridSpan w:val="7"/>
            <w:vAlign w:val="center"/>
          </w:tcPr>
          <w:p w14:paraId="77CFD3E1" w14:textId="7D725474" w:rsidR="005D7F2E" w:rsidRDefault="002E5073" w:rsidP="00AC4652">
            <w:pPr>
              <w:jc w:val="both"/>
            </w:pPr>
            <w:r>
              <w:t>Tıp Fakültesi</w:t>
            </w:r>
          </w:p>
        </w:tc>
      </w:tr>
      <w:tr w:rsidR="005D7F2E" w14:paraId="77CFD3E6" w14:textId="77777777" w:rsidTr="005D7F2E">
        <w:trPr>
          <w:trHeight w:val="454"/>
        </w:trPr>
        <w:tc>
          <w:tcPr>
            <w:tcW w:w="2977" w:type="dxa"/>
            <w:gridSpan w:val="3"/>
            <w:vAlign w:val="center"/>
          </w:tcPr>
          <w:p w14:paraId="77CFD3E3" w14:textId="77777777" w:rsidR="005D7F2E" w:rsidRDefault="00494808" w:rsidP="00AC4652">
            <w:pPr>
              <w:jc w:val="both"/>
            </w:pPr>
            <w:r>
              <w:t xml:space="preserve">Değerlendirme </w:t>
            </w:r>
            <w:r w:rsidR="005D7F2E" w:rsidRPr="00FD3E55">
              <w:t>Tarihi</w:t>
            </w:r>
          </w:p>
        </w:tc>
        <w:tc>
          <w:tcPr>
            <w:tcW w:w="236" w:type="dxa"/>
            <w:gridSpan w:val="2"/>
            <w:vAlign w:val="center"/>
          </w:tcPr>
          <w:p w14:paraId="77CFD3E4" w14:textId="77777777" w:rsidR="005D7F2E" w:rsidRPr="00A774B4" w:rsidRDefault="005D7F2E" w:rsidP="00AC4652">
            <w:pPr>
              <w:jc w:val="both"/>
              <w:rPr>
                <w:b/>
              </w:rPr>
            </w:pPr>
            <w:r w:rsidRPr="00A774B4">
              <w:rPr>
                <w:b/>
              </w:rPr>
              <w:t>:</w:t>
            </w:r>
          </w:p>
        </w:tc>
        <w:tc>
          <w:tcPr>
            <w:tcW w:w="6143" w:type="dxa"/>
            <w:gridSpan w:val="7"/>
            <w:vAlign w:val="center"/>
          </w:tcPr>
          <w:p w14:paraId="77CFD3E5" w14:textId="01017BC8" w:rsidR="005D7F2E" w:rsidRDefault="002E0759" w:rsidP="00AC4652">
            <w:pPr>
              <w:jc w:val="both"/>
            </w:pPr>
            <w:r>
              <w:t>18</w:t>
            </w:r>
            <w:r w:rsidR="00527D16">
              <w:t>.</w:t>
            </w:r>
            <w:r>
              <w:t>11</w:t>
            </w:r>
            <w:r w:rsidR="00527D16">
              <w:t>.2020</w:t>
            </w:r>
          </w:p>
        </w:tc>
      </w:tr>
      <w:tr w:rsidR="005D7F2E" w14:paraId="77CFD3EA" w14:textId="77777777" w:rsidTr="005D7F2E">
        <w:trPr>
          <w:trHeight w:val="454"/>
        </w:trPr>
        <w:tc>
          <w:tcPr>
            <w:tcW w:w="2977" w:type="dxa"/>
            <w:gridSpan w:val="3"/>
            <w:vAlign w:val="center"/>
          </w:tcPr>
          <w:p w14:paraId="77CFD3E7" w14:textId="77777777" w:rsidR="005D7F2E" w:rsidRPr="00FD3E55" w:rsidRDefault="005D7F2E" w:rsidP="00AC4652">
            <w:pPr>
              <w:jc w:val="both"/>
            </w:pPr>
            <w:r w:rsidRPr="00FD3E55">
              <w:t>S</w:t>
            </w:r>
            <w:r w:rsidRPr="00FD3E55">
              <w:rPr>
                <w:rFonts w:hint="eastAsia"/>
              </w:rPr>
              <w:t>ü</w:t>
            </w:r>
            <w:r w:rsidRPr="00FD3E55">
              <w:t>re</w:t>
            </w:r>
            <w:r w:rsidRPr="00FD3E55">
              <w:rPr>
                <w:rFonts w:hint="eastAsia"/>
              </w:rPr>
              <w:t>ç</w:t>
            </w:r>
            <w:r w:rsidRPr="00FD3E55">
              <w:t xml:space="preserve"> Tan</w:t>
            </w:r>
            <w:r w:rsidRPr="00FD3E55">
              <w:rPr>
                <w:rFonts w:hint="eastAsia"/>
              </w:rPr>
              <w:t>ı</w:t>
            </w:r>
            <w:r w:rsidRPr="00FD3E55">
              <w:t>m</w:t>
            </w:r>
            <w:r w:rsidRPr="00FD3E55">
              <w:rPr>
                <w:rFonts w:hint="eastAsia"/>
              </w:rPr>
              <w:t>ı</w:t>
            </w:r>
          </w:p>
        </w:tc>
        <w:tc>
          <w:tcPr>
            <w:tcW w:w="236" w:type="dxa"/>
            <w:gridSpan w:val="2"/>
            <w:vAlign w:val="center"/>
          </w:tcPr>
          <w:p w14:paraId="77CFD3E8" w14:textId="77777777" w:rsidR="005D7F2E" w:rsidRPr="00A774B4" w:rsidRDefault="005D7F2E" w:rsidP="00AC4652">
            <w:pPr>
              <w:jc w:val="both"/>
              <w:rPr>
                <w:b/>
              </w:rPr>
            </w:pPr>
            <w:r w:rsidRPr="00A774B4">
              <w:rPr>
                <w:b/>
              </w:rPr>
              <w:t>:</w:t>
            </w:r>
          </w:p>
        </w:tc>
        <w:tc>
          <w:tcPr>
            <w:tcW w:w="6143" w:type="dxa"/>
            <w:gridSpan w:val="7"/>
            <w:vAlign w:val="center"/>
          </w:tcPr>
          <w:p w14:paraId="77CFD3E9" w14:textId="32918B4A" w:rsidR="005D7F2E" w:rsidRDefault="007421B5" w:rsidP="00AC4652">
            <w:pPr>
              <w:jc w:val="both"/>
            </w:pPr>
            <w:r>
              <w:t>1.0. Eğitim Öğre</w:t>
            </w:r>
            <w:r w:rsidR="00261083">
              <w:t>timi Yönetmek</w:t>
            </w:r>
          </w:p>
        </w:tc>
      </w:tr>
      <w:tr w:rsidR="005D7F2E" w14:paraId="77CFD3EE" w14:textId="77777777" w:rsidTr="005D7F2E">
        <w:trPr>
          <w:trHeight w:val="454"/>
        </w:trPr>
        <w:tc>
          <w:tcPr>
            <w:tcW w:w="2977" w:type="dxa"/>
            <w:gridSpan w:val="3"/>
            <w:tcBorders>
              <w:bottom w:val="single" w:sz="4" w:space="0" w:color="auto"/>
            </w:tcBorders>
            <w:vAlign w:val="center"/>
          </w:tcPr>
          <w:p w14:paraId="77CFD3EB" w14:textId="77777777" w:rsidR="005D7F2E" w:rsidRPr="00FD3E55" w:rsidRDefault="005D7F2E" w:rsidP="00AC4652">
            <w:pPr>
              <w:jc w:val="both"/>
            </w:pPr>
            <w:r w:rsidRPr="00FD3E55">
              <w:t>Referans Standart</w:t>
            </w:r>
          </w:p>
        </w:tc>
        <w:tc>
          <w:tcPr>
            <w:tcW w:w="236" w:type="dxa"/>
            <w:gridSpan w:val="2"/>
            <w:tcBorders>
              <w:bottom w:val="single" w:sz="4" w:space="0" w:color="auto"/>
            </w:tcBorders>
            <w:vAlign w:val="center"/>
          </w:tcPr>
          <w:p w14:paraId="77CFD3EC" w14:textId="77777777" w:rsidR="005D7F2E" w:rsidRPr="00A774B4" w:rsidRDefault="005D7F2E" w:rsidP="00AC4652">
            <w:pPr>
              <w:jc w:val="both"/>
              <w:rPr>
                <w:b/>
              </w:rPr>
            </w:pPr>
            <w:r w:rsidRPr="00A774B4">
              <w:rPr>
                <w:b/>
              </w:rPr>
              <w:t>:</w:t>
            </w:r>
          </w:p>
        </w:tc>
        <w:tc>
          <w:tcPr>
            <w:tcW w:w="6143" w:type="dxa"/>
            <w:gridSpan w:val="7"/>
            <w:tcBorders>
              <w:bottom w:val="single" w:sz="4" w:space="0" w:color="auto"/>
            </w:tcBorders>
            <w:vAlign w:val="center"/>
          </w:tcPr>
          <w:p w14:paraId="77CFD3ED" w14:textId="77777777" w:rsidR="005D7F2E" w:rsidRDefault="00B708E8" w:rsidP="00AC4652">
            <w:pPr>
              <w:jc w:val="both"/>
            </w:pPr>
            <w:r w:rsidRPr="00B708E8">
              <w:t>TS EN ISO 9001:2015</w:t>
            </w:r>
          </w:p>
        </w:tc>
      </w:tr>
      <w:tr w:rsidR="0093430E" w14:paraId="77CFD409" w14:textId="77777777" w:rsidTr="00916B58">
        <w:trPr>
          <w:trHeight w:val="7263"/>
        </w:trPr>
        <w:tc>
          <w:tcPr>
            <w:tcW w:w="9356" w:type="dxa"/>
            <w:gridSpan w:val="12"/>
            <w:vAlign w:val="center"/>
          </w:tcPr>
          <w:p w14:paraId="54A42139" w14:textId="77777777" w:rsidR="002D1962" w:rsidRDefault="002D1962" w:rsidP="00F64A9F">
            <w:pPr>
              <w:spacing w:line="240" w:lineRule="atLeast"/>
              <w:jc w:val="both"/>
              <w:rPr>
                <w:b/>
                <w:sz w:val="18"/>
                <w:szCs w:val="18"/>
              </w:rPr>
            </w:pPr>
          </w:p>
          <w:p w14:paraId="77CFD3EF" w14:textId="379B6B36" w:rsidR="00316B06" w:rsidRDefault="00494808" w:rsidP="00F64A9F">
            <w:pPr>
              <w:spacing w:line="240" w:lineRule="atLeast"/>
              <w:jc w:val="both"/>
              <w:rPr>
                <w:b/>
                <w:sz w:val="18"/>
                <w:szCs w:val="18"/>
              </w:rPr>
            </w:pPr>
            <w:r w:rsidRPr="00494808">
              <w:rPr>
                <w:b/>
                <w:sz w:val="18"/>
                <w:szCs w:val="18"/>
              </w:rPr>
              <w:t xml:space="preserve">TS EN </w:t>
            </w:r>
            <w:r>
              <w:rPr>
                <w:rFonts w:hint="eastAsia"/>
                <w:b/>
                <w:sz w:val="18"/>
                <w:szCs w:val="18"/>
              </w:rPr>
              <w:t>ISO</w:t>
            </w:r>
            <w:r w:rsidRPr="00494808">
              <w:rPr>
                <w:b/>
                <w:sz w:val="18"/>
                <w:szCs w:val="18"/>
              </w:rPr>
              <w:t xml:space="preserve"> 9001:2015 Standar</w:t>
            </w:r>
            <w:r>
              <w:rPr>
                <w:b/>
                <w:sz w:val="18"/>
                <w:szCs w:val="18"/>
              </w:rPr>
              <w:t>d</w:t>
            </w:r>
            <w:r w:rsidRPr="00494808">
              <w:rPr>
                <w:rFonts w:hint="eastAsia"/>
                <w:b/>
                <w:sz w:val="18"/>
                <w:szCs w:val="18"/>
              </w:rPr>
              <w:t>ı</w:t>
            </w:r>
            <w:r w:rsidRPr="00494808">
              <w:rPr>
                <w:b/>
                <w:sz w:val="18"/>
                <w:szCs w:val="18"/>
              </w:rPr>
              <w:t>n</w:t>
            </w:r>
            <w:r w:rsidRPr="00494808">
              <w:rPr>
                <w:rFonts w:hint="eastAsia"/>
                <w:b/>
                <w:sz w:val="18"/>
                <w:szCs w:val="18"/>
              </w:rPr>
              <w:t>ı</w:t>
            </w:r>
            <w:r w:rsidRPr="00494808">
              <w:rPr>
                <w:b/>
                <w:sz w:val="18"/>
                <w:szCs w:val="18"/>
              </w:rPr>
              <w:t xml:space="preserve">n 9.2 </w:t>
            </w:r>
            <w:r>
              <w:rPr>
                <w:b/>
                <w:sz w:val="18"/>
                <w:szCs w:val="18"/>
              </w:rPr>
              <w:t>İ</w:t>
            </w:r>
            <w:r w:rsidRPr="00494808">
              <w:rPr>
                <w:rFonts w:hint="eastAsia"/>
                <w:b/>
                <w:sz w:val="18"/>
                <w:szCs w:val="18"/>
              </w:rPr>
              <w:t>ç</w:t>
            </w:r>
            <w:r>
              <w:rPr>
                <w:b/>
                <w:sz w:val="18"/>
                <w:szCs w:val="18"/>
              </w:rPr>
              <w:t xml:space="preserve"> Tetkik Maddesinin bir gereği</w:t>
            </w:r>
            <w:r w:rsidRPr="00494808">
              <w:rPr>
                <w:b/>
                <w:sz w:val="18"/>
                <w:szCs w:val="18"/>
              </w:rPr>
              <w:t xml:space="preserve"> olarak; Birimin, kalite y</w:t>
            </w:r>
            <w:r w:rsidRPr="00494808">
              <w:rPr>
                <w:rFonts w:hint="eastAsia"/>
                <w:b/>
                <w:sz w:val="18"/>
                <w:szCs w:val="18"/>
              </w:rPr>
              <w:t>ö</w:t>
            </w:r>
            <w:r w:rsidRPr="00494808">
              <w:rPr>
                <w:b/>
                <w:sz w:val="18"/>
                <w:szCs w:val="18"/>
              </w:rPr>
              <w:t xml:space="preserve">netim sisteminin </w:t>
            </w:r>
            <w:r w:rsidRPr="00494808">
              <w:rPr>
                <w:rFonts w:hint="eastAsia"/>
                <w:b/>
                <w:sz w:val="18"/>
                <w:szCs w:val="18"/>
              </w:rPr>
              <w:t>ş</w:t>
            </w:r>
            <w:r w:rsidRPr="00494808">
              <w:rPr>
                <w:b/>
                <w:sz w:val="18"/>
                <w:szCs w:val="18"/>
              </w:rPr>
              <w:t>artlar</w:t>
            </w:r>
            <w:r w:rsidRPr="00494808">
              <w:rPr>
                <w:rFonts w:hint="eastAsia"/>
                <w:b/>
                <w:sz w:val="18"/>
                <w:szCs w:val="18"/>
              </w:rPr>
              <w:t>ı</w:t>
            </w:r>
            <w:r w:rsidRPr="00494808">
              <w:rPr>
                <w:b/>
                <w:sz w:val="18"/>
                <w:szCs w:val="18"/>
              </w:rPr>
              <w:t>na ve bu standard</w:t>
            </w:r>
            <w:r w:rsidRPr="00494808">
              <w:rPr>
                <w:rFonts w:hint="eastAsia"/>
                <w:b/>
                <w:sz w:val="18"/>
                <w:szCs w:val="18"/>
              </w:rPr>
              <w:t>ı</w:t>
            </w:r>
            <w:r w:rsidRPr="00494808">
              <w:rPr>
                <w:b/>
                <w:sz w:val="18"/>
                <w:szCs w:val="18"/>
              </w:rPr>
              <w:t xml:space="preserve">n </w:t>
            </w:r>
            <w:r w:rsidRPr="00494808">
              <w:rPr>
                <w:rFonts w:hint="eastAsia"/>
                <w:b/>
                <w:sz w:val="18"/>
                <w:szCs w:val="18"/>
              </w:rPr>
              <w:t>ş</w:t>
            </w:r>
            <w:r w:rsidRPr="00494808">
              <w:rPr>
                <w:b/>
                <w:sz w:val="18"/>
                <w:szCs w:val="18"/>
              </w:rPr>
              <w:t>artlar</w:t>
            </w:r>
            <w:r w:rsidRPr="00494808">
              <w:rPr>
                <w:rFonts w:hint="eastAsia"/>
                <w:b/>
                <w:sz w:val="18"/>
                <w:szCs w:val="18"/>
              </w:rPr>
              <w:t>ı</w:t>
            </w:r>
            <w:r w:rsidRPr="00494808">
              <w:rPr>
                <w:b/>
                <w:sz w:val="18"/>
                <w:szCs w:val="18"/>
              </w:rPr>
              <w:t>na uygunlu</w:t>
            </w:r>
            <w:r w:rsidRPr="00494808">
              <w:rPr>
                <w:rFonts w:hint="eastAsia"/>
                <w:b/>
                <w:sz w:val="18"/>
                <w:szCs w:val="18"/>
              </w:rPr>
              <w:t>ğ</w:t>
            </w:r>
            <w:r w:rsidRPr="00494808">
              <w:rPr>
                <w:b/>
                <w:sz w:val="18"/>
                <w:szCs w:val="18"/>
              </w:rPr>
              <w:t>un sa</w:t>
            </w:r>
            <w:r w:rsidRPr="00494808">
              <w:rPr>
                <w:rFonts w:hint="eastAsia"/>
                <w:b/>
                <w:sz w:val="18"/>
                <w:szCs w:val="18"/>
              </w:rPr>
              <w:t>ğ</w:t>
            </w:r>
            <w:r w:rsidRPr="00494808">
              <w:rPr>
                <w:b/>
                <w:sz w:val="18"/>
                <w:szCs w:val="18"/>
              </w:rPr>
              <w:t>lanmas</w:t>
            </w:r>
            <w:r w:rsidRPr="00494808">
              <w:rPr>
                <w:rFonts w:hint="eastAsia"/>
                <w:b/>
                <w:sz w:val="18"/>
                <w:szCs w:val="18"/>
              </w:rPr>
              <w:t>ı</w:t>
            </w:r>
            <w:r w:rsidRPr="00494808">
              <w:rPr>
                <w:b/>
                <w:sz w:val="18"/>
                <w:szCs w:val="18"/>
              </w:rPr>
              <w:t xml:space="preserve"> ve etkili olarak uyguland</w:t>
            </w:r>
            <w:r w:rsidRPr="00494808">
              <w:rPr>
                <w:rFonts w:hint="eastAsia"/>
                <w:b/>
                <w:sz w:val="18"/>
                <w:szCs w:val="18"/>
              </w:rPr>
              <w:t>ığı</w:t>
            </w:r>
            <w:r w:rsidRPr="00494808">
              <w:rPr>
                <w:b/>
                <w:sz w:val="18"/>
                <w:szCs w:val="18"/>
              </w:rPr>
              <w:t xml:space="preserve"> ve s</w:t>
            </w:r>
            <w:r w:rsidRPr="00494808">
              <w:rPr>
                <w:rFonts w:hint="eastAsia"/>
                <w:b/>
                <w:sz w:val="18"/>
                <w:szCs w:val="18"/>
              </w:rPr>
              <w:t>ü</w:t>
            </w:r>
            <w:r w:rsidRPr="00494808">
              <w:rPr>
                <w:b/>
                <w:sz w:val="18"/>
                <w:szCs w:val="18"/>
              </w:rPr>
              <w:t>reklili</w:t>
            </w:r>
            <w:r w:rsidRPr="00494808">
              <w:rPr>
                <w:rFonts w:hint="eastAsia"/>
                <w:b/>
                <w:sz w:val="18"/>
                <w:szCs w:val="18"/>
              </w:rPr>
              <w:t>ğ</w:t>
            </w:r>
            <w:r w:rsidRPr="00494808">
              <w:rPr>
                <w:b/>
                <w:sz w:val="18"/>
                <w:szCs w:val="18"/>
              </w:rPr>
              <w:t>inin sa</w:t>
            </w:r>
            <w:r w:rsidRPr="00494808">
              <w:rPr>
                <w:rFonts w:hint="eastAsia"/>
                <w:b/>
                <w:sz w:val="18"/>
                <w:szCs w:val="18"/>
              </w:rPr>
              <w:t>ğ</w:t>
            </w:r>
            <w:r w:rsidRPr="00494808">
              <w:rPr>
                <w:b/>
                <w:sz w:val="18"/>
                <w:szCs w:val="18"/>
              </w:rPr>
              <w:t>land</w:t>
            </w:r>
            <w:r w:rsidRPr="00494808">
              <w:rPr>
                <w:rFonts w:hint="eastAsia"/>
                <w:b/>
                <w:sz w:val="18"/>
                <w:szCs w:val="18"/>
              </w:rPr>
              <w:t>ığı</w:t>
            </w:r>
            <w:r w:rsidRPr="00494808">
              <w:rPr>
                <w:b/>
                <w:sz w:val="18"/>
                <w:szCs w:val="18"/>
              </w:rPr>
              <w:t>na y</w:t>
            </w:r>
            <w:r w:rsidRPr="00494808">
              <w:rPr>
                <w:rFonts w:hint="eastAsia"/>
                <w:b/>
                <w:sz w:val="18"/>
                <w:szCs w:val="18"/>
              </w:rPr>
              <w:t>ö</w:t>
            </w:r>
            <w:r w:rsidRPr="00494808">
              <w:rPr>
                <w:b/>
                <w:sz w:val="18"/>
                <w:szCs w:val="18"/>
              </w:rPr>
              <w:t>nelik bir denetim yap</w:t>
            </w:r>
            <w:r w:rsidRPr="00494808">
              <w:rPr>
                <w:rFonts w:hint="eastAsia"/>
                <w:b/>
                <w:sz w:val="18"/>
                <w:szCs w:val="18"/>
              </w:rPr>
              <w:t>ı</w:t>
            </w:r>
            <w:r w:rsidRPr="00494808">
              <w:rPr>
                <w:b/>
                <w:sz w:val="18"/>
                <w:szCs w:val="18"/>
              </w:rPr>
              <w:t>lm</w:t>
            </w:r>
            <w:r w:rsidRPr="00494808">
              <w:rPr>
                <w:rFonts w:hint="eastAsia"/>
                <w:b/>
                <w:sz w:val="18"/>
                <w:szCs w:val="18"/>
              </w:rPr>
              <w:t>ış</w:t>
            </w:r>
            <w:r w:rsidRPr="00494808">
              <w:rPr>
                <w:b/>
                <w:sz w:val="18"/>
                <w:szCs w:val="18"/>
              </w:rPr>
              <w:t>t</w:t>
            </w:r>
            <w:r w:rsidRPr="00494808">
              <w:rPr>
                <w:rFonts w:hint="eastAsia"/>
                <w:b/>
                <w:sz w:val="18"/>
                <w:szCs w:val="18"/>
              </w:rPr>
              <w:t>ı</w:t>
            </w:r>
            <w:r>
              <w:rPr>
                <w:b/>
                <w:sz w:val="18"/>
                <w:szCs w:val="18"/>
              </w:rPr>
              <w:t>r.</w:t>
            </w:r>
          </w:p>
          <w:p w14:paraId="67F997FD" w14:textId="4AC7DBB1" w:rsidR="008D13F3" w:rsidRDefault="008D13F3" w:rsidP="00F64A9F">
            <w:pPr>
              <w:spacing w:line="240" w:lineRule="atLeast"/>
              <w:jc w:val="both"/>
              <w:rPr>
                <w:b/>
                <w:sz w:val="18"/>
                <w:szCs w:val="18"/>
              </w:rPr>
            </w:pPr>
          </w:p>
          <w:p w14:paraId="4887CA8B" w14:textId="77777777" w:rsidR="002D1962" w:rsidRPr="00916B58" w:rsidRDefault="002D1962" w:rsidP="00F64A9F">
            <w:pPr>
              <w:spacing w:line="240" w:lineRule="atLeast"/>
              <w:jc w:val="both"/>
              <w:rPr>
                <w:b/>
                <w:sz w:val="18"/>
                <w:szCs w:val="18"/>
              </w:rPr>
            </w:pPr>
          </w:p>
          <w:p w14:paraId="77CFD3F1" w14:textId="77777777" w:rsidR="00494808" w:rsidRDefault="00494808" w:rsidP="00F64A9F">
            <w:pPr>
              <w:spacing w:line="240" w:lineRule="atLeast"/>
              <w:jc w:val="both"/>
              <w:rPr>
                <w:b/>
                <w:sz w:val="18"/>
                <w:szCs w:val="18"/>
              </w:rPr>
            </w:pPr>
            <w:r w:rsidRPr="00494808">
              <w:rPr>
                <w:b/>
                <w:sz w:val="18"/>
                <w:szCs w:val="18"/>
              </w:rPr>
              <w:t>De</w:t>
            </w:r>
            <w:r w:rsidRPr="00494808">
              <w:rPr>
                <w:rFonts w:hint="eastAsia"/>
                <w:b/>
                <w:sz w:val="18"/>
                <w:szCs w:val="18"/>
              </w:rPr>
              <w:t>ğ</w:t>
            </w:r>
            <w:r w:rsidRPr="00494808">
              <w:rPr>
                <w:b/>
                <w:sz w:val="18"/>
                <w:szCs w:val="18"/>
              </w:rPr>
              <w:t xml:space="preserve">erlendirme </w:t>
            </w:r>
          </w:p>
          <w:p w14:paraId="56ED0C48" w14:textId="77777777" w:rsidR="00712447" w:rsidRDefault="00712447" w:rsidP="00F64A9F">
            <w:pPr>
              <w:spacing w:line="240" w:lineRule="atLeast"/>
              <w:jc w:val="both"/>
              <w:rPr>
                <w:sz w:val="18"/>
                <w:szCs w:val="18"/>
              </w:rPr>
            </w:pPr>
          </w:p>
          <w:p w14:paraId="77CFD3F2" w14:textId="4C5D11E2" w:rsidR="0093430E" w:rsidRDefault="00494808" w:rsidP="00F64A9F">
            <w:pPr>
              <w:spacing w:line="240" w:lineRule="atLeast"/>
              <w:jc w:val="both"/>
              <w:rPr>
                <w:sz w:val="18"/>
                <w:szCs w:val="18"/>
              </w:rPr>
            </w:pPr>
            <w:r w:rsidRPr="00494808">
              <w:rPr>
                <w:sz w:val="18"/>
                <w:szCs w:val="18"/>
              </w:rPr>
              <w:t>De</w:t>
            </w:r>
            <w:r w:rsidRPr="00494808">
              <w:rPr>
                <w:rFonts w:hint="eastAsia"/>
                <w:sz w:val="18"/>
                <w:szCs w:val="18"/>
              </w:rPr>
              <w:t>ğ</w:t>
            </w:r>
            <w:r>
              <w:rPr>
                <w:sz w:val="18"/>
                <w:szCs w:val="18"/>
              </w:rPr>
              <w:t>erlendirmeye;</w:t>
            </w:r>
            <w:r w:rsidR="00C8370C">
              <w:rPr>
                <w:sz w:val="18"/>
                <w:szCs w:val="18"/>
              </w:rPr>
              <w:t xml:space="preserve"> </w:t>
            </w:r>
            <w:r w:rsidR="00676754">
              <w:rPr>
                <w:sz w:val="18"/>
                <w:szCs w:val="18"/>
              </w:rPr>
              <w:t>Baş Değerlendirici Prof. Dr. Musa ÖZATA</w:t>
            </w:r>
            <w:r w:rsidR="00831055">
              <w:rPr>
                <w:sz w:val="18"/>
                <w:szCs w:val="18"/>
              </w:rPr>
              <w:t xml:space="preserve">, </w:t>
            </w:r>
            <w:r w:rsidR="00676754">
              <w:rPr>
                <w:sz w:val="18"/>
                <w:szCs w:val="18"/>
              </w:rPr>
              <w:t xml:space="preserve">İç Değerlendirici </w:t>
            </w:r>
            <w:proofErr w:type="spellStart"/>
            <w:r w:rsidR="00AD3C70">
              <w:rPr>
                <w:sz w:val="18"/>
                <w:szCs w:val="18"/>
              </w:rPr>
              <w:t>Öğr</w:t>
            </w:r>
            <w:proofErr w:type="spellEnd"/>
            <w:r w:rsidR="00AD3C70">
              <w:rPr>
                <w:sz w:val="18"/>
                <w:szCs w:val="18"/>
              </w:rPr>
              <w:t>. Gör. Ayşe ÇANDAR</w:t>
            </w:r>
            <w:r w:rsidR="00831055">
              <w:rPr>
                <w:sz w:val="18"/>
                <w:szCs w:val="18"/>
              </w:rPr>
              <w:t xml:space="preserve">, Fakülte Dekan Yardımcısı Prof. Dr. </w:t>
            </w:r>
            <w:proofErr w:type="spellStart"/>
            <w:r w:rsidR="00831055">
              <w:rPr>
                <w:sz w:val="18"/>
                <w:szCs w:val="18"/>
              </w:rPr>
              <w:t>Muttalip</w:t>
            </w:r>
            <w:proofErr w:type="spellEnd"/>
            <w:r w:rsidR="00831055">
              <w:rPr>
                <w:sz w:val="18"/>
                <w:szCs w:val="18"/>
              </w:rPr>
              <w:t xml:space="preserve"> ÇİÇEK, Birim Kalite Komisyonu Üyeleri Prof. Dr. Ergin KARİPTAŞ, Doç. Dr. Ali GÜNEŞ,</w:t>
            </w:r>
            <w:r w:rsidR="00F64A9F">
              <w:rPr>
                <w:sz w:val="18"/>
                <w:szCs w:val="18"/>
              </w:rPr>
              <w:t xml:space="preserve"> Dr. </w:t>
            </w:r>
            <w:proofErr w:type="spellStart"/>
            <w:r w:rsidR="00F64A9F">
              <w:rPr>
                <w:sz w:val="18"/>
                <w:szCs w:val="18"/>
              </w:rPr>
              <w:t>Öğr</w:t>
            </w:r>
            <w:proofErr w:type="spellEnd"/>
            <w:r w:rsidR="00F64A9F">
              <w:rPr>
                <w:sz w:val="18"/>
                <w:szCs w:val="18"/>
              </w:rPr>
              <w:t xml:space="preserve">. Üyesi Sercan EROĞLU, </w:t>
            </w:r>
            <w:proofErr w:type="spellStart"/>
            <w:r w:rsidR="00F64A9F">
              <w:rPr>
                <w:sz w:val="18"/>
                <w:szCs w:val="18"/>
              </w:rPr>
              <w:t>Araş</w:t>
            </w:r>
            <w:proofErr w:type="spellEnd"/>
            <w:r w:rsidR="00F64A9F">
              <w:rPr>
                <w:sz w:val="18"/>
                <w:szCs w:val="18"/>
              </w:rPr>
              <w:t xml:space="preserve">. Gör. Dr. Gülistan Sanem SARIBAŞ, Fakülte Sekreteri Çiğdem GÜVEN ve Hemşire Fatma Nükhet YİĞİT </w:t>
            </w:r>
            <w:r w:rsidR="0093430E" w:rsidRPr="00916B58">
              <w:rPr>
                <w:sz w:val="18"/>
                <w:szCs w:val="18"/>
              </w:rPr>
              <w:t>kat</w:t>
            </w:r>
            <w:r w:rsidR="0093430E" w:rsidRPr="00916B58">
              <w:rPr>
                <w:rFonts w:hint="eastAsia"/>
                <w:sz w:val="18"/>
                <w:szCs w:val="18"/>
              </w:rPr>
              <w:t>ı</w:t>
            </w:r>
            <w:r w:rsidR="0093430E" w:rsidRPr="00916B58">
              <w:rPr>
                <w:sz w:val="18"/>
                <w:szCs w:val="18"/>
              </w:rPr>
              <w:t>lm</w:t>
            </w:r>
            <w:r w:rsidR="0093430E" w:rsidRPr="00916B58">
              <w:rPr>
                <w:rFonts w:hint="eastAsia"/>
                <w:sz w:val="18"/>
                <w:szCs w:val="18"/>
              </w:rPr>
              <w:t>ış</w:t>
            </w:r>
            <w:r w:rsidR="0093430E" w:rsidRPr="00916B58">
              <w:rPr>
                <w:sz w:val="18"/>
                <w:szCs w:val="18"/>
              </w:rPr>
              <w:t>lard</w:t>
            </w:r>
            <w:r w:rsidR="0093430E" w:rsidRPr="00916B58">
              <w:rPr>
                <w:rFonts w:hint="eastAsia"/>
                <w:sz w:val="18"/>
                <w:szCs w:val="18"/>
              </w:rPr>
              <w:t>ı</w:t>
            </w:r>
            <w:r w:rsidR="0093430E" w:rsidRPr="00916B58">
              <w:rPr>
                <w:sz w:val="18"/>
                <w:szCs w:val="18"/>
              </w:rPr>
              <w:t>r.</w:t>
            </w:r>
            <w:r w:rsidR="00AD3C70">
              <w:rPr>
                <w:sz w:val="18"/>
                <w:szCs w:val="18"/>
              </w:rPr>
              <w:t xml:space="preserve"> Değerle</w:t>
            </w:r>
            <w:r w:rsidR="00C546A2">
              <w:rPr>
                <w:sz w:val="18"/>
                <w:szCs w:val="18"/>
              </w:rPr>
              <w:t xml:space="preserve">ndirme 'Bütünleşik Yönetim Bilgi Sistemi-BYBS' ve 'Birim Web Sayfası' üzerinden </w:t>
            </w:r>
            <w:r w:rsidR="00683A23">
              <w:rPr>
                <w:sz w:val="18"/>
                <w:szCs w:val="18"/>
              </w:rPr>
              <w:t xml:space="preserve">'KAEÜ İç Değerlendirme </w:t>
            </w:r>
            <w:r w:rsidR="00C97B87">
              <w:rPr>
                <w:sz w:val="18"/>
                <w:szCs w:val="18"/>
              </w:rPr>
              <w:t xml:space="preserve">Sistemi </w:t>
            </w:r>
            <w:r w:rsidR="003D5653">
              <w:rPr>
                <w:sz w:val="18"/>
                <w:szCs w:val="18"/>
              </w:rPr>
              <w:t>Ölçütleri Soru</w:t>
            </w:r>
            <w:r w:rsidR="00C97B87">
              <w:rPr>
                <w:sz w:val="18"/>
                <w:szCs w:val="18"/>
              </w:rPr>
              <w:t xml:space="preserve"> Listesi' de dikkate alınarak </w:t>
            </w:r>
            <w:r w:rsidR="00C546A2">
              <w:rPr>
                <w:sz w:val="18"/>
                <w:szCs w:val="18"/>
              </w:rPr>
              <w:t>online</w:t>
            </w:r>
            <w:r w:rsidR="005B2FE0">
              <w:rPr>
                <w:sz w:val="18"/>
                <w:szCs w:val="18"/>
              </w:rPr>
              <w:t xml:space="preserve"> olarak yapıldıktan sonra birim</w:t>
            </w:r>
            <w:r w:rsidR="00387548">
              <w:rPr>
                <w:sz w:val="18"/>
                <w:szCs w:val="18"/>
              </w:rPr>
              <w:t xml:space="preserve"> ziyaret edilmiş ve kanıtlar sorgulanmıştır</w:t>
            </w:r>
            <w:r w:rsidR="00C546A2">
              <w:rPr>
                <w:sz w:val="18"/>
                <w:szCs w:val="18"/>
              </w:rPr>
              <w:t xml:space="preserve">. </w:t>
            </w:r>
          </w:p>
          <w:p w14:paraId="7830284C" w14:textId="77777777" w:rsidR="002D1962" w:rsidRPr="00916B58" w:rsidRDefault="002D1962" w:rsidP="00F64A9F">
            <w:pPr>
              <w:spacing w:line="240" w:lineRule="atLeast"/>
              <w:jc w:val="both"/>
              <w:rPr>
                <w:sz w:val="18"/>
                <w:szCs w:val="18"/>
              </w:rPr>
            </w:pPr>
          </w:p>
          <w:p w14:paraId="31FA6F91" w14:textId="77777777" w:rsidR="002D1962" w:rsidRPr="00916B58" w:rsidRDefault="002D1962" w:rsidP="00F64A9F">
            <w:pPr>
              <w:spacing w:line="240" w:lineRule="atLeast"/>
              <w:jc w:val="both"/>
              <w:rPr>
                <w:sz w:val="18"/>
                <w:szCs w:val="18"/>
              </w:rPr>
            </w:pPr>
          </w:p>
          <w:p w14:paraId="5C08B2F5" w14:textId="77777777" w:rsidR="00A02657" w:rsidRDefault="00494808" w:rsidP="00F64A9F">
            <w:pPr>
              <w:spacing w:line="240" w:lineRule="atLeast"/>
              <w:jc w:val="both"/>
              <w:rPr>
                <w:sz w:val="18"/>
                <w:szCs w:val="18"/>
              </w:rPr>
            </w:pPr>
            <w:r w:rsidRPr="00494808">
              <w:rPr>
                <w:b/>
                <w:sz w:val="18"/>
                <w:szCs w:val="18"/>
              </w:rPr>
              <w:t>De</w:t>
            </w:r>
            <w:r w:rsidRPr="00494808">
              <w:rPr>
                <w:rFonts w:hint="eastAsia"/>
                <w:b/>
                <w:sz w:val="18"/>
                <w:szCs w:val="18"/>
              </w:rPr>
              <w:t>ğ</w:t>
            </w:r>
            <w:r w:rsidRPr="00494808">
              <w:rPr>
                <w:b/>
                <w:sz w:val="18"/>
                <w:szCs w:val="18"/>
              </w:rPr>
              <w:t xml:space="preserve">erlendirme </w:t>
            </w:r>
            <w:r w:rsidR="0093430E" w:rsidRPr="00916B58">
              <w:rPr>
                <w:b/>
                <w:sz w:val="18"/>
                <w:szCs w:val="18"/>
              </w:rPr>
              <w:t>Bulgular</w:t>
            </w:r>
            <w:r w:rsidR="0093430E" w:rsidRPr="00916B58">
              <w:rPr>
                <w:rFonts w:hint="eastAsia"/>
                <w:b/>
                <w:sz w:val="18"/>
                <w:szCs w:val="18"/>
              </w:rPr>
              <w:t>ı</w:t>
            </w:r>
            <w:r w:rsidR="0093430E" w:rsidRPr="00916B58">
              <w:rPr>
                <w:b/>
                <w:sz w:val="18"/>
                <w:szCs w:val="18"/>
              </w:rPr>
              <w:t>:</w:t>
            </w:r>
            <w:r w:rsidR="00EB38F7">
              <w:rPr>
                <w:sz w:val="18"/>
                <w:szCs w:val="18"/>
              </w:rPr>
              <w:t xml:space="preserve"> </w:t>
            </w:r>
          </w:p>
          <w:p w14:paraId="5402DFAF" w14:textId="77777777" w:rsidR="00A02657" w:rsidRDefault="00A02657" w:rsidP="00F64A9F">
            <w:pPr>
              <w:spacing w:line="240" w:lineRule="atLeast"/>
              <w:jc w:val="both"/>
              <w:rPr>
                <w:sz w:val="18"/>
                <w:szCs w:val="18"/>
              </w:rPr>
            </w:pPr>
          </w:p>
          <w:p w14:paraId="56FB6EDF" w14:textId="2CFB91CE" w:rsidR="00712447" w:rsidRDefault="00260230" w:rsidP="00F64A9F">
            <w:pPr>
              <w:spacing w:line="240" w:lineRule="atLeast"/>
              <w:jc w:val="both"/>
              <w:rPr>
                <w:sz w:val="18"/>
                <w:szCs w:val="18"/>
              </w:rPr>
            </w:pPr>
            <w:r>
              <w:rPr>
                <w:sz w:val="18"/>
                <w:szCs w:val="18"/>
              </w:rPr>
              <w:t xml:space="preserve">Birim misyon ve vizyonunu oluşturmuş, tüm kalite dokümantasyonunu hazırlamış, bu dokümantasyonu BYBS sistemine aktarmıştır. Bu kapsamda bünyesinde bulunan tüm bölümlere özel ayrı ayrı faaliyet planlarını oluşturmuş, yaptığı faaliyetleri bu plana uygun şekilde gerçekleştirmekte ve izlemelerini yapmaktadır. İzlemeler sonucunda gerçekleşmeyen faaliyetleri için iyileştirme planları oluşturmuştur. Birimin performans parametreleri, riskleri oluşturulmuş izlemeleri </w:t>
            </w:r>
            <w:proofErr w:type="spellStart"/>
            <w:r>
              <w:rPr>
                <w:sz w:val="18"/>
                <w:szCs w:val="18"/>
              </w:rPr>
              <w:t>KYS'ne</w:t>
            </w:r>
            <w:proofErr w:type="spellEnd"/>
            <w:r>
              <w:rPr>
                <w:sz w:val="18"/>
                <w:szCs w:val="18"/>
              </w:rPr>
              <w:t xml:space="preserve"> uygun şekilde düzenli şekilde yapılmaktadır. Ayrıca </w:t>
            </w:r>
            <w:proofErr w:type="spellStart"/>
            <w:r>
              <w:rPr>
                <w:sz w:val="18"/>
                <w:szCs w:val="18"/>
              </w:rPr>
              <w:t>BYBS'ye</w:t>
            </w:r>
            <w:proofErr w:type="spellEnd"/>
            <w:r>
              <w:rPr>
                <w:sz w:val="18"/>
                <w:szCs w:val="18"/>
              </w:rPr>
              <w:t xml:space="preserve"> gerçekleştirilen performans parametrelerine dair kanıtlar, risk şiddeti yüksek olan risklerin şiddetini azaltmak adına yapılacak faaliyetler eklenmiş, süreç takip edilmektedir. Bu anlamda değerlendirildiğinde birim tüm bölümleriyle kalite yönetim sistemini benimsemiştir. Kalite kapsamında yapılan ölçme ve değerlendirmenin haricinde fakültenin kullanmış olduğu KEYPS sisteminden kendilerine özel bir ölçme değerlendirme sistemi de takip edilmektedir. Birimin gerçekleştirmiş olduğu sosyal sorumluluk projeleri de bulunmakta olup toplumsal katkıyı yönetmek sürecine ilişkin olarak da faaliyetler yapılmaktadır. Tıp Fakültesi'nin paydaş ilişkileri oldukça güçlü şekilde yönetilmektedir. 2020 yılında MEB, İl Sağlık Müdürlüğü ve Başhekimlik ile paydaş ilişkileri bulunmakta, </w:t>
            </w:r>
            <w:proofErr w:type="spellStart"/>
            <w:r>
              <w:rPr>
                <w:sz w:val="18"/>
                <w:szCs w:val="18"/>
              </w:rPr>
              <w:t>pandemi</w:t>
            </w:r>
            <w:proofErr w:type="spellEnd"/>
            <w:r>
              <w:rPr>
                <w:sz w:val="18"/>
                <w:szCs w:val="18"/>
              </w:rPr>
              <w:t xml:space="preserve"> nedeniyle </w:t>
            </w:r>
            <w:r w:rsidR="00F6787D">
              <w:rPr>
                <w:sz w:val="18"/>
                <w:szCs w:val="18"/>
              </w:rPr>
              <w:t>iş birliği</w:t>
            </w:r>
            <w:r>
              <w:rPr>
                <w:sz w:val="18"/>
                <w:szCs w:val="18"/>
              </w:rPr>
              <w:t xml:space="preserve"> toplantıları online olarak yürütülmektedir. </w:t>
            </w:r>
            <w:r w:rsidR="00F6787D">
              <w:rPr>
                <w:sz w:val="18"/>
                <w:szCs w:val="18"/>
              </w:rPr>
              <w:t xml:space="preserve">Müfredat belirlenirken iç paydaşları arasında yer alan öğrencilerden görüş alınmakta, bu şekilde öğrencilerin süreçlere katılımı sağlanmaktadır. Birim bünyesinde kurulan öğrenci toplulukları bulunmakta, öğrencileri ilgilendiren konularda karar alma süreçlerine katılımları sağlanmaktadır. Birim öğrenci ve çalışan memnuniyet anketlerini yapmış olup anketlerin analizinden çıkan verilere göre iyileştirmeler yapmaktadır. Genel anlamda değerlendirildiğinde KYS birimde tüm unsurlarıyla uygulanmaktadır. Bu durumdan yola çıkılarak üniversitemizde kalite anlamında başlatılacak bir sonraki süreç olan 'Kurumsal Akreditasyon Programı' konusunda komisyon üyelerinde bilgi paylaşımında bulunulmuştur. </w:t>
            </w:r>
            <w:r w:rsidR="00284927">
              <w:rPr>
                <w:sz w:val="18"/>
                <w:szCs w:val="18"/>
              </w:rPr>
              <w:t xml:space="preserve">Son olarak, </w:t>
            </w:r>
            <w:proofErr w:type="spellStart"/>
            <w:r w:rsidR="00284927">
              <w:rPr>
                <w:sz w:val="18"/>
                <w:szCs w:val="18"/>
              </w:rPr>
              <w:t>uluslararasılaşma</w:t>
            </w:r>
            <w:proofErr w:type="spellEnd"/>
            <w:r w:rsidR="00284927">
              <w:rPr>
                <w:sz w:val="18"/>
                <w:szCs w:val="18"/>
              </w:rPr>
              <w:t xml:space="preserve"> politikası kapsamında birimin yaptığı faaliyetler incelenmiş, bu konuda da iyi uygulamaların olduğu belirlenmiştir. </w:t>
            </w:r>
          </w:p>
          <w:p w14:paraId="0A8B5323" w14:textId="77777777" w:rsidR="002D1962" w:rsidRDefault="002D1962" w:rsidP="00F64A9F">
            <w:pPr>
              <w:spacing w:line="240" w:lineRule="atLeast"/>
              <w:jc w:val="both"/>
              <w:rPr>
                <w:b/>
                <w:sz w:val="18"/>
                <w:szCs w:val="18"/>
              </w:rPr>
            </w:pPr>
          </w:p>
          <w:p w14:paraId="1B64369F" w14:textId="7EF59711" w:rsidR="002D1962" w:rsidRDefault="00E30A06" w:rsidP="00F64A9F">
            <w:pPr>
              <w:spacing w:line="240" w:lineRule="atLeast"/>
              <w:jc w:val="both"/>
              <w:rPr>
                <w:sz w:val="18"/>
                <w:szCs w:val="18"/>
              </w:rPr>
            </w:pPr>
            <w:r w:rsidRPr="00916B58">
              <w:rPr>
                <w:b/>
                <w:sz w:val="18"/>
                <w:szCs w:val="18"/>
              </w:rPr>
              <w:t>Uygunsuzluklar:</w:t>
            </w:r>
            <w:r w:rsidRPr="00916B58">
              <w:rPr>
                <w:sz w:val="18"/>
                <w:szCs w:val="18"/>
              </w:rPr>
              <w:t xml:space="preserve"> Uygunsuzluk</w:t>
            </w:r>
            <w:r w:rsidR="0093430E" w:rsidRPr="00916B58">
              <w:rPr>
                <w:sz w:val="18"/>
                <w:szCs w:val="18"/>
              </w:rPr>
              <w:t xml:space="preserve"> tespit</w:t>
            </w:r>
            <w:r>
              <w:rPr>
                <w:sz w:val="18"/>
                <w:szCs w:val="18"/>
              </w:rPr>
              <w:t xml:space="preserve"> </w:t>
            </w:r>
            <w:r w:rsidR="0093430E" w:rsidRPr="00916B58">
              <w:rPr>
                <w:sz w:val="18"/>
                <w:szCs w:val="18"/>
              </w:rPr>
              <w:t>edilmemi</w:t>
            </w:r>
            <w:r w:rsidR="0093430E" w:rsidRPr="00916B58">
              <w:rPr>
                <w:rFonts w:hint="eastAsia"/>
                <w:sz w:val="18"/>
                <w:szCs w:val="18"/>
              </w:rPr>
              <w:t>ş</w:t>
            </w:r>
            <w:r w:rsidR="0093430E" w:rsidRPr="00916B58">
              <w:rPr>
                <w:sz w:val="18"/>
                <w:szCs w:val="18"/>
              </w:rPr>
              <w:t>tir.</w:t>
            </w:r>
          </w:p>
          <w:p w14:paraId="77CFD405" w14:textId="77777777" w:rsidR="00316B06" w:rsidRPr="00916B58" w:rsidRDefault="00316B06" w:rsidP="00F64A9F">
            <w:pPr>
              <w:spacing w:line="240" w:lineRule="atLeast"/>
              <w:jc w:val="both"/>
              <w:rPr>
                <w:sz w:val="18"/>
                <w:szCs w:val="18"/>
              </w:rPr>
            </w:pPr>
          </w:p>
          <w:p w14:paraId="1A739E8A" w14:textId="7795E02E" w:rsidR="00C25E85" w:rsidRDefault="0093430E" w:rsidP="00F64A9F">
            <w:pPr>
              <w:spacing w:line="240" w:lineRule="atLeast"/>
              <w:jc w:val="both"/>
              <w:rPr>
                <w:sz w:val="18"/>
                <w:szCs w:val="18"/>
              </w:rPr>
            </w:pPr>
            <w:r w:rsidRPr="00916B58">
              <w:rPr>
                <w:rFonts w:hint="eastAsia"/>
                <w:b/>
                <w:sz w:val="18"/>
                <w:szCs w:val="18"/>
              </w:rPr>
              <w:t>İ</w:t>
            </w:r>
            <w:r w:rsidRPr="00916B58">
              <w:rPr>
                <w:b/>
                <w:sz w:val="18"/>
                <w:szCs w:val="18"/>
              </w:rPr>
              <w:t>yile</w:t>
            </w:r>
            <w:r w:rsidRPr="00916B58">
              <w:rPr>
                <w:rFonts w:hint="eastAsia"/>
                <w:b/>
                <w:sz w:val="18"/>
                <w:szCs w:val="18"/>
              </w:rPr>
              <w:t>ş</w:t>
            </w:r>
            <w:r w:rsidRPr="00916B58">
              <w:rPr>
                <w:b/>
                <w:sz w:val="18"/>
                <w:szCs w:val="18"/>
              </w:rPr>
              <w:t>tirilecek Alanlar:</w:t>
            </w:r>
            <w:r w:rsidRPr="00916B58">
              <w:rPr>
                <w:sz w:val="18"/>
                <w:szCs w:val="18"/>
              </w:rPr>
              <w:t xml:space="preserve"> </w:t>
            </w:r>
          </w:p>
          <w:p w14:paraId="20A1D244" w14:textId="4BEE2C0D" w:rsidR="008D13F3" w:rsidRDefault="008D13F3" w:rsidP="00F64A9F">
            <w:pPr>
              <w:spacing w:line="240" w:lineRule="atLeast"/>
              <w:jc w:val="both"/>
              <w:rPr>
                <w:sz w:val="18"/>
                <w:szCs w:val="18"/>
              </w:rPr>
            </w:pPr>
          </w:p>
          <w:p w14:paraId="0B1CCAF7" w14:textId="33D422D0" w:rsidR="00236D2B" w:rsidRDefault="00236D2B" w:rsidP="00F64A9F">
            <w:pPr>
              <w:spacing w:line="240" w:lineRule="atLeast"/>
              <w:jc w:val="both"/>
              <w:rPr>
                <w:sz w:val="18"/>
                <w:szCs w:val="18"/>
              </w:rPr>
            </w:pPr>
            <w:r>
              <w:rPr>
                <w:sz w:val="18"/>
                <w:szCs w:val="18"/>
              </w:rPr>
              <w:t>Yapılan değerlendirme sonucunda iyileştirmeye açık yönler olarak aşağıdaki tavsiyeler birim yöneticilerine iletil</w:t>
            </w:r>
            <w:r w:rsidR="00F6787D">
              <w:rPr>
                <w:sz w:val="18"/>
                <w:szCs w:val="18"/>
              </w:rPr>
              <w:t>miştir</w:t>
            </w:r>
            <w:r>
              <w:rPr>
                <w:sz w:val="18"/>
                <w:szCs w:val="18"/>
              </w:rPr>
              <w:t>;</w:t>
            </w:r>
          </w:p>
          <w:p w14:paraId="18C060AE" w14:textId="2749BD9E" w:rsidR="00236D2B" w:rsidRDefault="00236D2B" w:rsidP="00F64A9F">
            <w:pPr>
              <w:spacing w:line="240" w:lineRule="atLeast"/>
              <w:jc w:val="both"/>
              <w:rPr>
                <w:sz w:val="18"/>
                <w:szCs w:val="18"/>
              </w:rPr>
            </w:pPr>
          </w:p>
          <w:p w14:paraId="2FCFC547" w14:textId="36842D6C" w:rsidR="002D1962" w:rsidRDefault="00236D2B" w:rsidP="00F64A9F">
            <w:pPr>
              <w:spacing w:line="240" w:lineRule="atLeast"/>
              <w:jc w:val="both"/>
              <w:rPr>
                <w:sz w:val="18"/>
                <w:szCs w:val="18"/>
              </w:rPr>
            </w:pPr>
            <w:r>
              <w:rPr>
                <w:sz w:val="18"/>
                <w:szCs w:val="18"/>
              </w:rPr>
              <w:t xml:space="preserve">1. </w:t>
            </w:r>
            <w:r w:rsidR="003D6290">
              <w:rPr>
                <w:sz w:val="18"/>
                <w:szCs w:val="18"/>
              </w:rPr>
              <w:t>Birim Faaliyet Planı'nda yer alan bazı faaliyetler</w:t>
            </w:r>
            <w:r w:rsidR="00E16D71">
              <w:rPr>
                <w:sz w:val="18"/>
                <w:szCs w:val="18"/>
              </w:rPr>
              <w:t>in uygun süreçlerle eşleştirilmesi</w:t>
            </w:r>
            <w:r w:rsidR="005D2AA1">
              <w:rPr>
                <w:sz w:val="18"/>
                <w:szCs w:val="18"/>
              </w:rPr>
              <w:t xml:space="preserve"> önerilmiştir</w:t>
            </w:r>
            <w:r w:rsidR="00E16D71">
              <w:rPr>
                <w:sz w:val="18"/>
                <w:szCs w:val="18"/>
              </w:rPr>
              <w:t xml:space="preserve"> </w:t>
            </w:r>
            <w:r w:rsidR="005D2AA1">
              <w:rPr>
                <w:sz w:val="18"/>
                <w:szCs w:val="18"/>
              </w:rPr>
              <w:t>(</w:t>
            </w:r>
            <w:r w:rsidR="00DF0203">
              <w:rPr>
                <w:sz w:val="18"/>
                <w:szCs w:val="18"/>
              </w:rPr>
              <w:t>Birim yöneticileri bu konuyu değerlendirmeye aldıklarını ve ilerleme kaydedildiğini açıklamıştır</w:t>
            </w:r>
            <w:r w:rsidR="005D2AA1">
              <w:rPr>
                <w:sz w:val="18"/>
                <w:szCs w:val="18"/>
              </w:rPr>
              <w:t xml:space="preserve">). </w:t>
            </w:r>
          </w:p>
          <w:p w14:paraId="04ECE54F" w14:textId="387E4A6F" w:rsidR="005D2AA1" w:rsidRDefault="005D2AA1" w:rsidP="00F64A9F">
            <w:pPr>
              <w:spacing w:line="240" w:lineRule="atLeast"/>
              <w:jc w:val="both"/>
              <w:rPr>
                <w:sz w:val="18"/>
                <w:szCs w:val="18"/>
              </w:rPr>
            </w:pPr>
            <w:r>
              <w:rPr>
                <w:sz w:val="18"/>
                <w:szCs w:val="18"/>
              </w:rPr>
              <w:t xml:space="preserve">2. Öğrenci memnuniyet oranının 2.8 çıkmasından dolayı, bu oranı yükseltmek için öğrencilerle iletişim kanallarının olabildiğince açık tutulması konusunda tavsiyelerde bulunulmuştur. </w:t>
            </w:r>
          </w:p>
          <w:p w14:paraId="5FFA668E" w14:textId="7F4A1BAB" w:rsidR="005D2AA1" w:rsidRDefault="005D2AA1" w:rsidP="00F64A9F">
            <w:pPr>
              <w:spacing w:line="240" w:lineRule="atLeast"/>
              <w:jc w:val="both"/>
              <w:rPr>
                <w:sz w:val="18"/>
                <w:szCs w:val="18"/>
              </w:rPr>
            </w:pPr>
            <w:r>
              <w:rPr>
                <w:sz w:val="18"/>
                <w:szCs w:val="18"/>
              </w:rPr>
              <w:lastRenderedPageBreak/>
              <w:t xml:space="preserve">3. </w:t>
            </w:r>
            <w:r w:rsidR="00DF0203">
              <w:rPr>
                <w:sz w:val="18"/>
                <w:szCs w:val="18"/>
              </w:rPr>
              <w:t xml:space="preserve">Toplumsal katkı sürecini yönetmek adına toplumda sağlık okur yazarlığının arttırılmasına yönelik bilgilendirme toplantılarının yapılabileceği söylenerek bu anlamda fikir paylaşımı yapılmıştır. 2021 yılı hedefleri belirlenirken bu tür konuların da değerlendirilmesi önerilmiştir. </w:t>
            </w:r>
          </w:p>
          <w:p w14:paraId="0C512E19" w14:textId="77777777" w:rsidR="00C332BF" w:rsidRDefault="00C332BF" w:rsidP="00C332BF">
            <w:pPr>
              <w:jc w:val="both"/>
              <w:rPr>
                <w:sz w:val="18"/>
                <w:szCs w:val="18"/>
              </w:rPr>
            </w:pPr>
          </w:p>
          <w:p w14:paraId="0178265C" w14:textId="5F650A74" w:rsidR="00DF0203" w:rsidRDefault="00DF0203" w:rsidP="00F64A9F">
            <w:pPr>
              <w:spacing w:line="240" w:lineRule="atLeast"/>
              <w:jc w:val="both"/>
              <w:rPr>
                <w:sz w:val="18"/>
                <w:szCs w:val="18"/>
              </w:rPr>
            </w:pPr>
          </w:p>
          <w:p w14:paraId="77CFD407" w14:textId="2B034AB3" w:rsidR="00316B06" w:rsidRPr="00916B58" w:rsidRDefault="00316B06" w:rsidP="00F64A9F">
            <w:pPr>
              <w:spacing w:line="240" w:lineRule="atLeast"/>
              <w:jc w:val="both"/>
              <w:rPr>
                <w:sz w:val="18"/>
                <w:szCs w:val="18"/>
              </w:rPr>
            </w:pPr>
          </w:p>
          <w:p w14:paraId="362FCB03" w14:textId="13C157E3" w:rsidR="0093430E" w:rsidRDefault="0093430E" w:rsidP="00F64A9F">
            <w:pPr>
              <w:spacing w:line="240" w:lineRule="atLeast"/>
              <w:jc w:val="both"/>
              <w:rPr>
                <w:sz w:val="18"/>
                <w:szCs w:val="18"/>
              </w:rPr>
            </w:pPr>
            <w:r w:rsidRPr="00916B58">
              <w:rPr>
                <w:b/>
                <w:sz w:val="18"/>
                <w:szCs w:val="18"/>
              </w:rPr>
              <w:t>G</w:t>
            </w:r>
            <w:r w:rsidRPr="00916B58">
              <w:rPr>
                <w:rFonts w:hint="eastAsia"/>
                <w:b/>
                <w:sz w:val="18"/>
                <w:szCs w:val="18"/>
              </w:rPr>
              <w:t>üç</w:t>
            </w:r>
            <w:r w:rsidRPr="00916B58">
              <w:rPr>
                <w:b/>
                <w:sz w:val="18"/>
                <w:szCs w:val="18"/>
              </w:rPr>
              <w:t>l</w:t>
            </w:r>
            <w:r w:rsidRPr="00916B58">
              <w:rPr>
                <w:rFonts w:hint="eastAsia"/>
                <w:b/>
                <w:sz w:val="18"/>
                <w:szCs w:val="18"/>
              </w:rPr>
              <w:t>ü</w:t>
            </w:r>
            <w:r w:rsidRPr="00916B58">
              <w:rPr>
                <w:b/>
                <w:sz w:val="18"/>
                <w:szCs w:val="18"/>
              </w:rPr>
              <w:t xml:space="preserve"> Y</w:t>
            </w:r>
            <w:r w:rsidRPr="00916B58">
              <w:rPr>
                <w:rFonts w:hint="eastAsia"/>
                <w:b/>
                <w:sz w:val="18"/>
                <w:szCs w:val="18"/>
              </w:rPr>
              <w:t>ö</w:t>
            </w:r>
            <w:r w:rsidRPr="00916B58">
              <w:rPr>
                <w:b/>
                <w:sz w:val="18"/>
                <w:szCs w:val="18"/>
              </w:rPr>
              <w:t>nler:</w:t>
            </w:r>
            <w:r w:rsidRPr="00916B58">
              <w:rPr>
                <w:sz w:val="18"/>
                <w:szCs w:val="18"/>
              </w:rPr>
              <w:t xml:space="preserve"> </w:t>
            </w:r>
          </w:p>
          <w:p w14:paraId="7B554F6A" w14:textId="12D49F4E" w:rsidR="0045325F" w:rsidRDefault="0045325F" w:rsidP="00F64A9F">
            <w:pPr>
              <w:spacing w:line="240" w:lineRule="atLeast"/>
              <w:jc w:val="both"/>
              <w:rPr>
                <w:sz w:val="18"/>
                <w:szCs w:val="18"/>
              </w:rPr>
            </w:pPr>
          </w:p>
          <w:p w14:paraId="77CFD408" w14:textId="4E887FCD" w:rsidR="00AF3EE5" w:rsidRPr="00A73812" w:rsidRDefault="0045325F" w:rsidP="00F64A9F">
            <w:pPr>
              <w:spacing w:line="240" w:lineRule="atLeast"/>
              <w:jc w:val="both"/>
              <w:rPr>
                <w:sz w:val="18"/>
                <w:szCs w:val="18"/>
              </w:rPr>
            </w:pPr>
            <w:r>
              <w:rPr>
                <w:sz w:val="18"/>
                <w:szCs w:val="18"/>
              </w:rPr>
              <w:t xml:space="preserve">Birimin </w:t>
            </w:r>
            <w:proofErr w:type="spellStart"/>
            <w:r>
              <w:rPr>
                <w:sz w:val="18"/>
                <w:szCs w:val="18"/>
              </w:rPr>
              <w:t>KYS'ne</w:t>
            </w:r>
            <w:proofErr w:type="spellEnd"/>
            <w:r>
              <w:rPr>
                <w:sz w:val="18"/>
                <w:szCs w:val="18"/>
              </w:rPr>
              <w:t xml:space="preserve"> tüm alt birimleriyle </w:t>
            </w:r>
            <w:r w:rsidR="00505B64">
              <w:rPr>
                <w:sz w:val="18"/>
                <w:szCs w:val="18"/>
              </w:rPr>
              <w:t xml:space="preserve">birlikte </w:t>
            </w:r>
            <w:r>
              <w:rPr>
                <w:sz w:val="18"/>
                <w:szCs w:val="18"/>
              </w:rPr>
              <w:t xml:space="preserve">uyum sağlamış olması, tüm amaç/hedef </w:t>
            </w:r>
            <w:r w:rsidR="00E76A31">
              <w:rPr>
                <w:sz w:val="18"/>
                <w:szCs w:val="18"/>
              </w:rPr>
              <w:t xml:space="preserve">ve faaliyetlerini kalite politikasına uygun şekilde yürütüyor olması </w:t>
            </w:r>
            <w:r w:rsidR="00DD289B">
              <w:rPr>
                <w:sz w:val="18"/>
                <w:szCs w:val="18"/>
              </w:rPr>
              <w:t xml:space="preserve">en önemli güçlü yanıdır. </w:t>
            </w:r>
            <w:r w:rsidR="00284927">
              <w:rPr>
                <w:sz w:val="18"/>
                <w:szCs w:val="18"/>
              </w:rPr>
              <w:t xml:space="preserve">Öğrencileri ilgilendiren süreçlere öğrenci katılımının sağlanması, KEYPS üzerinden birimlerine özel bir anket sistemi oluşturarak katılımı arttırmayı planlamaları oldukça iyi uygulamalar arasında yer almaktadır. </w:t>
            </w:r>
          </w:p>
        </w:tc>
      </w:tr>
      <w:tr w:rsidR="005D7F2E" w14:paraId="77CFD40B" w14:textId="77777777" w:rsidTr="008B056C">
        <w:trPr>
          <w:trHeight w:val="320"/>
        </w:trPr>
        <w:tc>
          <w:tcPr>
            <w:tcW w:w="9356" w:type="dxa"/>
            <w:gridSpan w:val="12"/>
            <w:tcBorders>
              <w:top w:val="single" w:sz="4" w:space="0" w:color="auto"/>
              <w:bottom w:val="single" w:sz="4" w:space="0" w:color="auto"/>
            </w:tcBorders>
            <w:vAlign w:val="center"/>
          </w:tcPr>
          <w:p w14:paraId="77CFD40A" w14:textId="77777777" w:rsidR="005D7F2E" w:rsidRDefault="00494808" w:rsidP="00AC4652">
            <w:pPr>
              <w:jc w:val="both"/>
            </w:pPr>
            <w:r w:rsidRPr="00494808">
              <w:lastRenderedPageBreak/>
              <w:t>De</w:t>
            </w:r>
            <w:r w:rsidRPr="00494808">
              <w:rPr>
                <w:rFonts w:hint="eastAsia"/>
              </w:rPr>
              <w:t>ğ</w:t>
            </w:r>
            <w:r w:rsidRPr="00494808">
              <w:t xml:space="preserve">erlendirme </w:t>
            </w:r>
            <w:r w:rsidR="005D7F2E" w:rsidRPr="00FD3E55">
              <w:t>sonucunda;</w:t>
            </w:r>
          </w:p>
        </w:tc>
      </w:tr>
      <w:tr w:rsidR="005D7F2E" w14:paraId="77CFD40E" w14:textId="77777777" w:rsidTr="00284C57">
        <w:trPr>
          <w:trHeight w:val="573"/>
        </w:trPr>
        <w:tc>
          <w:tcPr>
            <w:tcW w:w="568" w:type="dxa"/>
            <w:gridSpan w:val="2"/>
            <w:tcBorders>
              <w:top w:val="single" w:sz="4" w:space="0" w:color="auto"/>
              <w:bottom w:val="single" w:sz="4" w:space="0" w:color="auto"/>
            </w:tcBorders>
            <w:shd w:val="clear" w:color="auto" w:fill="auto"/>
            <w:vAlign w:val="center"/>
          </w:tcPr>
          <w:p w14:paraId="77CFD40C" w14:textId="3C229973" w:rsidR="005D7F2E" w:rsidRPr="00FD3E55" w:rsidRDefault="00284C57" w:rsidP="00316B06">
            <w:pPr>
              <w:jc w:val="both"/>
              <w:rPr>
                <w:sz w:val="36"/>
              </w:rPr>
            </w:pPr>
            <w:r w:rsidRPr="00EB5D68">
              <w:rPr>
                <w:rFonts w:ascii="Times New Roman" w:hAnsi="Times New Roman"/>
                <w:bCs/>
                <w:sz w:val="36"/>
                <w:szCs w:val="24"/>
                <w:highlight w:val="black"/>
              </w:rPr>
              <w:sym w:font="Wingdings" w:char="F0A8"/>
            </w:r>
          </w:p>
        </w:tc>
        <w:tc>
          <w:tcPr>
            <w:tcW w:w="8788" w:type="dxa"/>
            <w:gridSpan w:val="10"/>
            <w:tcBorders>
              <w:top w:val="single" w:sz="4" w:space="0" w:color="auto"/>
              <w:bottom w:val="single" w:sz="4" w:space="0" w:color="auto"/>
            </w:tcBorders>
            <w:vAlign w:val="center"/>
          </w:tcPr>
          <w:p w14:paraId="77CFD40D" w14:textId="77777777" w:rsidR="005D7F2E" w:rsidRPr="00FD3E55" w:rsidRDefault="005D7F2E" w:rsidP="00AC4652">
            <w:pPr>
              <w:jc w:val="both"/>
            </w:pPr>
            <w:r w:rsidRPr="00FD3E55">
              <w:t>Uygunsuzluk raporu d</w:t>
            </w:r>
            <w:r w:rsidRPr="00FD3E55">
              <w:rPr>
                <w:rFonts w:hint="eastAsia"/>
              </w:rPr>
              <w:t>ü</w:t>
            </w:r>
            <w:r w:rsidRPr="00FD3E55">
              <w:t>zenlenmemi</w:t>
            </w:r>
            <w:r w:rsidRPr="00FD3E55">
              <w:rPr>
                <w:rFonts w:hint="eastAsia"/>
              </w:rPr>
              <w:t>ş</w:t>
            </w:r>
            <w:r w:rsidRPr="00FD3E55">
              <w:t>tir.</w:t>
            </w:r>
          </w:p>
        </w:tc>
      </w:tr>
      <w:tr w:rsidR="005D7F2E" w14:paraId="77CFD411" w14:textId="77777777" w:rsidTr="008B056C">
        <w:trPr>
          <w:trHeight w:val="737"/>
        </w:trPr>
        <w:sdt>
          <w:sdtPr>
            <w:rPr>
              <w:rFonts w:ascii="Times New Roman" w:hAnsi="Times New Roman"/>
              <w:bCs/>
              <w:sz w:val="36"/>
              <w:szCs w:val="24"/>
            </w:rPr>
            <w:id w:val="1405725551"/>
          </w:sdtPr>
          <w:sdtEndPr/>
          <w:sdtContent>
            <w:tc>
              <w:tcPr>
                <w:tcW w:w="568" w:type="dxa"/>
                <w:gridSpan w:val="2"/>
                <w:tcBorders>
                  <w:top w:val="single" w:sz="4" w:space="0" w:color="auto"/>
                  <w:bottom w:val="single" w:sz="4" w:space="0" w:color="auto"/>
                </w:tcBorders>
                <w:vAlign w:val="center"/>
              </w:tcPr>
              <w:p w14:paraId="77CFD40F" w14:textId="77777777" w:rsidR="005D7F2E" w:rsidRPr="00FD3E55" w:rsidRDefault="005D7F2E" w:rsidP="00AC4652">
                <w:pPr>
                  <w:jc w:val="both"/>
                  <w:rPr>
                    <w:sz w:val="36"/>
                  </w:rPr>
                </w:pPr>
                <w:r w:rsidRPr="00FD3E55">
                  <w:rPr>
                    <w:rFonts w:ascii="Times New Roman" w:hAnsi="Times New Roman"/>
                    <w:bCs/>
                    <w:sz w:val="36"/>
                    <w:szCs w:val="24"/>
                  </w:rPr>
                  <w:sym w:font="Wingdings" w:char="F0A8"/>
                </w:r>
              </w:p>
            </w:tc>
          </w:sdtContent>
        </w:sdt>
        <w:tc>
          <w:tcPr>
            <w:tcW w:w="8788" w:type="dxa"/>
            <w:gridSpan w:val="10"/>
            <w:tcBorders>
              <w:top w:val="single" w:sz="4" w:space="0" w:color="auto"/>
              <w:bottom w:val="single" w:sz="4" w:space="0" w:color="auto"/>
            </w:tcBorders>
            <w:vAlign w:val="center"/>
          </w:tcPr>
          <w:p w14:paraId="77CFD410" w14:textId="77777777" w:rsidR="005D7F2E" w:rsidRPr="00FD3E55" w:rsidRDefault="005D7F2E" w:rsidP="00316B06">
            <w:pPr>
              <w:jc w:val="both"/>
            </w:pPr>
            <w:r w:rsidRPr="00FD3E55">
              <w:t>Uygunsuzluk raporu d</w:t>
            </w:r>
            <w:r w:rsidRPr="00FD3E55">
              <w:rPr>
                <w:rFonts w:hint="eastAsia"/>
              </w:rPr>
              <w:t>ü</w:t>
            </w:r>
            <w:r w:rsidRPr="00FD3E55">
              <w:t>zenlenmi</w:t>
            </w:r>
            <w:r w:rsidRPr="00FD3E55">
              <w:rPr>
                <w:rFonts w:hint="eastAsia"/>
              </w:rPr>
              <w:t>ş</w:t>
            </w:r>
            <w:r w:rsidRPr="00FD3E55">
              <w:t xml:space="preserve">tir. </w:t>
            </w:r>
            <w:r w:rsidR="00316B06">
              <w:t>-</w:t>
            </w:r>
            <w:r w:rsidRPr="00FD3E55">
              <w:t xml:space="preserve"> adet uygunsuzluk raporu </w:t>
            </w:r>
            <w:r w:rsidR="00494808">
              <w:t>d</w:t>
            </w:r>
            <w:r w:rsidR="00494808" w:rsidRPr="00494808">
              <w:t>e</w:t>
            </w:r>
            <w:r w:rsidR="00494808" w:rsidRPr="00494808">
              <w:rPr>
                <w:rFonts w:hint="eastAsia"/>
              </w:rPr>
              <w:t>ğ</w:t>
            </w:r>
            <w:r w:rsidR="00494808" w:rsidRPr="00494808">
              <w:t xml:space="preserve">erlendirme </w:t>
            </w:r>
            <w:r w:rsidRPr="00FD3E55">
              <w:t>raporunun ekinde verilmi</w:t>
            </w:r>
            <w:r w:rsidRPr="00FD3E55">
              <w:rPr>
                <w:rFonts w:hint="eastAsia"/>
              </w:rPr>
              <w:t>ş</w:t>
            </w:r>
            <w:r w:rsidRPr="00FD3E55">
              <w:t>tir.</w:t>
            </w:r>
          </w:p>
        </w:tc>
      </w:tr>
      <w:tr w:rsidR="005D7F2E" w14:paraId="77CFD416" w14:textId="77777777" w:rsidTr="008B056C">
        <w:trPr>
          <w:trHeight w:val="548"/>
        </w:trPr>
        <w:tc>
          <w:tcPr>
            <w:tcW w:w="3119" w:type="dxa"/>
            <w:gridSpan w:val="4"/>
            <w:tcBorders>
              <w:top w:val="single" w:sz="4" w:space="0" w:color="auto"/>
              <w:bottom w:val="single" w:sz="4" w:space="0" w:color="auto"/>
            </w:tcBorders>
            <w:vAlign w:val="center"/>
          </w:tcPr>
          <w:p w14:paraId="77CFD412" w14:textId="77777777" w:rsidR="005D7F2E" w:rsidRPr="00FD3E55" w:rsidRDefault="00494808" w:rsidP="00AC4652">
            <w:pPr>
              <w:jc w:val="both"/>
            </w:pPr>
            <w:r>
              <w:t>Değerlendirme Takımı</w:t>
            </w:r>
          </w:p>
        </w:tc>
        <w:tc>
          <w:tcPr>
            <w:tcW w:w="1276" w:type="dxa"/>
            <w:gridSpan w:val="3"/>
            <w:tcBorders>
              <w:top w:val="single" w:sz="4" w:space="0" w:color="auto"/>
              <w:bottom w:val="single" w:sz="4" w:space="0" w:color="auto"/>
            </w:tcBorders>
            <w:vAlign w:val="center"/>
          </w:tcPr>
          <w:p w14:paraId="77CFD413" w14:textId="77777777" w:rsidR="005D7F2E" w:rsidRPr="00FD3E55" w:rsidRDefault="005D7F2E" w:rsidP="00AC4652">
            <w:pPr>
              <w:jc w:val="both"/>
            </w:pPr>
            <w:r w:rsidRPr="00FD3E55">
              <w:rPr>
                <w:rFonts w:hint="eastAsia"/>
              </w:rPr>
              <w:t>İ</w:t>
            </w:r>
            <w:r w:rsidRPr="00FD3E55">
              <w:t>mza</w:t>
            </w:r>
          </w:p>
        </w:tc>
        <w:tc>
          <w:tcPr>
            <w:tcW w:w="3260" w:type="dxa"/>
            <w:gridSpan w:val="2"/>
            <w:tcBorders>
              <w:top w:val="single" w:sz="4" w:space="0" w:color="auto"/>
              <w:bottom w:val="single" w:sz="4" w:space="0" w:color="auto"/>
            </w:tcBorders>
            <w:vAlign w:val="center"/>
          </w:tcPr>
          <w:p w14:paraId="77CFD414" w14:textId="77777777" w:rsidR="005D7F2E" w:rsidRPr="00FD3E55" w:rsidRDefault="005D7F2E" w:rsidP="00AC4652">
            <w:pPr>
              <w:jc w:val="both"/>
            </w:pPr>
            <w:r w:rsidRPr="00FD3E55">
              <w:t>Birim Y</w:t>
            </w:r>
            <w:r w:rsidRPr="00FD3E55">
              <w:rPr>
                <w:rFonts w:hint="eastAsia"/>
              </w:rPr>
              <w:t>ö</w:t>
            </w:r>
            <w:r w:rsidRPr="00FD3E55">
              <w:t>neticisi</w:t>
            </w:r>
          </w:p>
        </w:tc>
        <w:tc>
          <w:tcPr>
            <w:tcW w:w="1701" w:type="dxa"/>
            <w:gridSpan w:val="3"/>
            <w:tcBorders>
              <w:top w:val="single" w:sz="4" w:space="0" w:color="auto"/>
              <w:bottom w:val="single" w:sz="4" w:space="0" w:color="auto"/>
            </w:tcBorders>
            <w:vAlign w:val="center"/>
          </w:tcPr>
          <w:p w14:paraId="77CFD415" w14:textId="77777777" w:rsidR="005D7F2E" w:rsidRPr="00FD3E55" w:rsidRDefault="005D7F2E" w:rsidP="00AC4652">
            <w:pPr>
              <w:jc w:val="both"/>
            </w:pPr>
            <w:r w:rsidRPr="00FD3E55">
              <w:rPr>
                <w:rFonts w:hint="eastAsia"/>
              </w:rPr>
              <w:t>İ</w:t>
            </w:r>
            <w:r w:rsidRPr="00FD3E55">
              <w:t>mza</w:t>
            </w:r>
          </w:p>
        </w:tc>
      </w:tr>
      <w:tr w:rsidR="00B708E8" w14:paraId="77CFD420" w14:textId="77777777" w:rsidTr="008B056C">
        <w:trPr>
          <w:trHeight w:val="548"/>
        </w:trPr>
        <w:tc>
          <w:tcPr>
            <w:tcW w:w="236" w:type="dxa"/>
            <w:tcBorders>
              <w:top w:val="single" w:sz="4" w:space="0" w:color="auto"/>
              <w:left w:val="single" w:sz="4" w:space="0" w:color="auto"/>
              <w:bottom w:val="nil"/>
              <w:right w:val="nil"/>
            </w:tcBorders>
            <w:vAlign w:val="center"/>
          </w:tcPr>
          <w:p w14:paraId="77CFD417" w14:textId="77777777" w:rsidR="00B708E8" w:rsidRPr="00FD3E55" w:rsidRDefault="00B708E8" w:rsidP="00AC4652">
            <w:pPr>
              <w:jc w:val="both"/>
            </w:pPr>
          </w:p>
        </w:tc>
        <w:tc>
          <w:tcPr>
            <w:tcW w:w="2741" w:type="dxa"/>
            <w:gridSpan w:val="2"/>
            <w:tcBorders>
              <w:top w:val="single" w:sz="4" w:space="0" w:color="auto"/>
              <w:left w:val="nil"/>
              <w:bottom w:val="dotted" w:sz="4" w:space="0" w:color="auto"/>
              <w:right w:val="nil"/>
            </w:tcBorders>
            <w:vAlign w:val="bottom"/>
          </w:tcPr>
          <w:p w14:paraId="77CFD418" w14:textId="4F1E2CF9" w:rsidR="00B708E8" w:rsidRPr="00FD3E55" w:rsidRDefault="00795CD8" w:rsidP="00AC4652">
            <w:pPr>
              <w:jc w:val="both"/>
            </w:pPr>
            <w:r>
              <w:t>Prof. Dr. Musa ÖZATA</w:t>
            </w:r>
          </w:p>
        </w:tc>
        <w:tc>
          <w:tcPr>
            <w:tcW w:w="236" w:type="dxa"/>
            <w:gridSpan w:val="2"/>
            <w:tcBorders>
              <w:top w:val="single" w:sz="4" w:space="0" w:color="auto"/>
              <w:left w:val="nil"/>
              <w:bottom w:val="nil"/>
              <w:right w:val="nil"/>
            </w:tcBorders>
            <w:vAlign w:val="bottom"/>
          </w:tcPr>
          <w:p w14:paraId="77CFD419" w14:textId="77777777" w:rsidR="00B708E8" w:rsidRPr="00FD3E55" w:rsidRDefault="00B708E8" w:rsidP="00AC4652">
            <w:pPr>
              <w:jc w:val="both"/>
            </w:pPr>
          </w:p>
        </w:tc>
        <w:tc>
          <w:tcPr>
            <w:tcW w:w="898" w:type="dxa"/>
            <w:tcBorders>
              <w:top w:val="single" w:sz="4" w:space="0" w:color="auto"/>
              <w:left w:val="nil"/>
              <w:bottom w:val="dotted" w:sz="4" w:space="0" w:color="auto"/>
              <w:right w:val="nil"/>
            </w:tcBorders>
            <w:vAlign w:val="bottom"/>
          </w:tcPr>
          <w:p w14:paraId="77CFD41A" w14:textId="77777777" w:rsidR="00B708E8" w:rsidRPr="00FD3E55" w:rsidRDefault="00B708E8" w:rsidP="00AC4652">
            <w:pPr>
              <w:jc w:val="both"/>
            </w:pPr>
          </w:p>
        </w:tc>
        <w:tc>
          <w:tcPr>
            <w:tcW w:w="284" w:type="dxa"/>
            <w:tcBorders>
              <w:top w:val="single" w:sz="4" w:space="0" w:color="auto"/>
              <w:left w:val="nil"/>
              <w:bottom w:val="nil"/>
              <w:right w:val="nil"/>
            </w:tcBorders>
            <w:vAlign w:val="bottom"/>
          </w:tcPr>
          <w:p w14:paraId="77CFD41B" w14:textId="77777777" w:rsidR="00B708E8" w:rsidRPr="00FD3E55" w:rsidRDefault="00B708E8" w:rsidP="00AC4652">
            <w:pPr>
              <w:jc w:val="both"/>
            </w:pPr>
          </w:p>
        </w:tc>
        <w:tc>
          <w:tcPr>
            <w:tcW w:w="3118" w:type="dxa"/>
            <w:tcBorders>
              <w:top w:val="single" w:sz="4" w:space="0" w:color="auto"/>
              <w:left w:val="nil"/>
              <w:bottom w:val="dotted" w:sz="4" w:space="0" w:color="auto"/>
              <w:right w:val="nil"/>
            </w:tcBorders>
            <w:vAlign w:val="bottom"/>
          </w:tcPr>
          <w:p w14:paraId="77CFD41C" w14:textId="56756A9F" w:rsidR="00B708E8" w:rsidRPr="00FD3E55" w:rsidRDefault="0037055D" w:rsidP="00AC4652">
            <w:pPr>
              <w:jc w:val="both"/>
            </w:pPr>
            <w:r>
              <w:t>Prof. Dr. Mustafa Kasım KARAHOCAGİL</w:t>
            </w:r>
          </w:p>
        </w:tc>
        <w:tc>
          <w:tcPr>
            <w:tcW w:w="236" w:type="dxa"/>
            <w:gridSpan w:val="2"/>
            <w:tcBorders>
              <w:top w:val="single" w:sz="4" w:space="0" w:color="auto"/>
              <w:left w:val="nil"/>
              <w:bottom w:val="nil"/>
              <w:right w:val="nil"/>
            </w:tcBorders>
            <w:vAlign w:val="bottom"/>
          </w:tcPr>
          <w:p w14:paraId="77CFD41D" w14:textId="77777777" w:rsidR="00B708E8" w:rsidRPr="00FD3E55" w:rsidRDefault="00B708E8" w:rsidP="00AC4652">
            <w:pPr>
              <w:jc w:val="both"/>
            </w:pPr>
          </w:p>
        </w:tc>
        <w:tc>
          <w:tcPr>
            <w:tcW w:w="1324" w:type="dxa"/>
            <w:tcBorders>
              <w:top w:val="single" w:sz="4" w:space="0" w:color="auto"/>
              <w:left w:val="nil"/>
              <w:bottom w:val="dotted" w:sz="4" w:space="0" w:color="auto"/>
              <w:right w:val="nil"/>
            </w:tcBorders>
            <w:vAlign w:val="bottom"/>
          </w:tcPr>
          <w:p w14:paraId="77CFD41E" w14:textId="77777777" w:rsidR="00B708E8" w:rsidRPr="00FD3E55" w:rsidRDefault="00B708E8" w:rsidP="00AC4652">
            <w:pPr>
              <w:jc w:val="both"/>
            </w:pPr>
          </w:p>
        </w:tc>
        <w:tc>
          <w:tcPr>
            <w:tcW w:w="283" w:type="dxa"/>
            <w:tcBorders>
              <w:top w:val="single" w:sz="4" w:space="0" w:color="auto"/>
              <w:left w:val="nil"/>
              <w:bottom w:val="nil"/>
              <w:right w:val="single" w:sz="4" w:space="0" w:color="auto"/>
            </w:tcBorders>
            <w:vAlign w:val="center"/>
          </w:tcPr>
          <w:p w14:paraId="77CFD41F" w14:textId="77777777" w:rsidR="00B708E8" w:rsidRPr="00FD3E55" w:rsidRDefault="00B708E8" w:rsidP="00AC4652">
            <w:pPr>
              <w:jc w:val="both"/>
            </w:pPr>
          </w:p>
        </w:tc>
      </w:tr>
      <w:tr w:rsidR="00B708E8" w14:paraId="77CFD42A" w14:textId="77777777" w:rsidTr="008B056C">
        <w:trPr>
          <w:trHeight w:val="548"/>
        </w:trPr>
        <w:tc>
          <w:tcPr>
            <w:tcW w:w="236" w:type="dxa"/>
            <w:tcBorders>
              <w:top w:val="nil"/>
              <w:left w:val="single" w:sz="4" w:space="0" w:color="auto"/>
              <w:bottom w:val="nil"/>
              <w:right w:val="nil"/>
            </w:tcBorders>
            <w:vAlign w:val="center"/>
          </w:tcPr>
          <w:p w14:paraId="77CFD421" w14:textId="77777777" w:rsidR="00B708E8" w:rsidRPr="00FD3E55" w:rsidRDefault="00B708E8" w:rsidP="00AC4652">
            <w:pPr>
              <w:jc w:val="both"/>
            </w:pPr>
          </w:p>
        </w:tc>
        <w:tc>
          <w:tcPr>
            <w:tcW w:w="2741" w:type="dxa"/>
            <w:gridSpan w:val="2"/>
            <w:tcBorders>
              <w:top w:val="dotted" w:sz="4" w:space="0" w:color="auto"/>
              <w:left w:val="nil"/>
              <w:bottom w:val="dotted" w:sz="4" w:space="0" w:color="auto"/>
              <w:right w:val="nil"/>
            </w:tcBorders>
            <w:vAlign w:val="bottom"/>
          </w:tcPr>
          <w:p w14:paraId="77CFD422" w14:textId="1DA4B555" w:rsidR="00B708E8" w:rsidRPr="00FD3E55" w:rsidRDefault="00E62DC9" w:rsidP="00AC4652">
            <w:pPr>
              <w:jc w:val="both"/>
            </w:pPr>
            <w:proofErr w:type="spellStart"/>
            <w:r>
              <w:t>Öğr</w:t>
            </w:r>
            <w:proofErr w:type="spellEnd"/>
            <w:r>
              <w:t>. Gör. Ayşe ÇANDAR</w:t>
            </w:r>
          </w:p>
        </w:tc>
        <w:tc>
          <w:tcPr>
            <w:tcW w:w="236" w:type="dxa"/>
            <w:gridSpan w:val="2"/>
            <w:tcBorders>
              <w:top w:val="nil"/>
              <w:left w:val="nil"/>
              <w:bottom w:val="nil"/>
              <w:right w:val="nil"/>
            </w:tcBorders>
            <w:vAlign w:val="bottom"/>
          </w:tcPr>
          <w:p w14:paraId="77CFD423" w14:textId="77777777" w:rsidR="00B708E8" w:rsidRPr="00FD3E55" w:rsidRDefault="00B708E8" w:rsidP="00AC4652">
            <w:pPr>
              <w:jc w:val="both"/>
            </w:pPr>
          </w:p>
        </w:tc>
        <w:tc>
          <w:tcPr>
            <w:tcW w:w="898" w:type="dxa"/>
            <w:tcBorders>
              <w:top w:val="dotted" w:sz="4" w:space="0" w:color="auto"/>
              <w:left w:val="nil"/>
              <w:bottom w:val="dotted" w:sz="4" w:space="0" w:color="auto"/>
              <w:right w:val="nil"/>
            </w:tcBorders>
            <w:vAlign w:val="bottom"/>
          </w:tcPr>
          <w:p w14:paraId="77CFD424" w14:textId="77777777" w:rsidR="00B708E8" w:rsidRPr="00FD3E55" w:rsidRDefault="00B708E8" w:rsidP="00AC4652">
            <w:pPr>
              <w:jc w:val="both"/>
            </w:pPr>
          </w:p>
        </w:tc>
        <w:tc>
          <w:tcPr>
            <w:tcW w:w="284" w:type="dxa"/>
            <w:tcBorders>
              <w:top w:val="nil"/>
              <w:left w:val="nil"/>
              <w:bottom w:val="nil"/>
              <w:right w:val="nil"/>
            </w:tcBorders>
            <w:vAlign w:val="bottom"/>
          </w:tcPr>
          <w:p w14:paraId="77CFD425" w14:textId="77777777" w:rsidR="00B708E8" w:rsidRPr="00FD3E55" w:rsidRDefault="00B708E8" w:rsidP="00AC4652">
            <w:pPr>
              <w:jc w:val="both"/>
            </w:pPr>
          </w:p>
        </w:tc>
        <w:tc>
          <w:tcPr>
            <w:tcW w:w="3118" w:type="dxa"/>
            <w:tcBorders>
              <w:top w:val="dotted" w:sz="4" w:space="0" w:color="auto"/>
              <w:left w:val="nil"/>
              <w:bottom w:val="dotted" w:sz="4" w:space="0" w:color="auto"/>
              <w:right w:val="nil"/>
            </w:tcBorders>
            <w:vAlign w:val="bottom"/>
          </w:tcPr>
          <w:p w14:paraId="77CFD426" w14:textId="77777777" w:rsidR="00B708E8" w:rsidRPr="00FD3E55" w:rsidRDefault="00B708E8" w:rsidP="00AC4652">
            <w:pPr>
              <w:jc w:val="both"/>
            </w:pPr>
          </w:p>
        </w:tc>
        <w:tc>
          <w:tcPr>
            <w:tcW w:w="236" w:type="dxa"/>
            <w:gridSpan w:val="2"/>
            <w:tcBorders>
              <w:top w:val="nil"/>
              <w:left w:val="nil"/>
              <w:bottom w:val="nil"/>
              <w:right w:val="nil"/>
            </w:tcBorders>
            <w:vAlign w:val="bottom"/>
          </w:tcPr>
          <w:p w14:paraId="77CFD427" w14:textId="77777777" w:rsidR="00B708E8" w:rsidRPr="00FD3E55" w:rsidRDefault="00B708E8" w:rsidP="00AC4652">
            <w:pPr>
              <w:jc w:val="both"/>
            </w:pPr>
          </w:p>
        </w:tc>
        <w:tc>
          <w:tcPr>
            <w:tcW w:w="1324" w:type="dxa"/>
            <w:tcBorders>
              <w:top w:val="dotted" w:sz="4" w:space="0" w:color="auto"/>
              <w:left w:val="nil"/>
              <w:bottom w:val="dotted" w:sz="4" w:space="0" w:color="auto"/>
              <w:right w:val="nil"/>
            </w:tcBorders>
            <w:vAlign w:val="bottom"/>
          </w:tcPr>
          <w:p w14:paraId="77CFD428" w14:textId="77777777" w:rsidR="00B708E8" w:rsidRPr="00FD3E55" w:rsidRDefault="00B708E8" w:rsidP="00AC4652">
            <w:pPr>
              <w:jc w:val="both"/>
            </w:pPr>
          </w:p>
        </w:tc>
        <w:tc>
          <w:tcPr>
            <w:tcW w:w="283" w:type="dxa"/>
            <w:tcBorders>
              <w:top w:val="nil"/>
              <w:left w:val="nil"/>
              <w:bottom w:val="nil"/>
              <w:right w:val="single" w:sz="4" w:space="0" w:color="auto"/>
            </w:tcBorders>
            <w:vAlign w:val="center"/>
          </w:tcPr>
          <w:p w14:paraId="77CFD429" w14:textId="77777777" w:rsidR="00B708E8" w:rsidRPr="00FD3E55" w:rsidRDefault="00B708E8" w:rsidP="00AC4652">
            <w:pPr>
              <w:jc w:val="both"/>
            </w:pPr>
          </w:p>
        </w:tc>
      </w:tr>
      <w:tr w:rsidR="00B708E8" w14:paraId="77CFD434" w14:textId="77777777" w:rsidTr="008B056C">
        <w:trPr>
          <w:trHeight w:val="548"/>
        </w:trPr>
        <w:tc>
          <w:tcPr>
            <w:tcW w:w="236" w:type="dxa"/>
            <w:tcBorders>
              <w:top w:val="nil"/>
              <w:left w:val="single" w:sz="4" w:space="0" w:color="auto"/>
              <w:bottom w:val="single" w:sz="4" w:space="0" w:color="auto"/>
              <w:right w:val="nil"/>
            </w:tcBorders>
            <w:vAlign w:val="center"/>
          </w:tcPr>
          <w:p w14:paraId="77CFD42B" w14:textId="77777777" w:rsidR="00B708E8" w:rsidRPr="00FD3E55" w:rsidRDefault="00B708E8" w:rsidP="00AC4652">
            <w:pPr>
              <w:jc w:val="both"/>
            </w:pPr>
          </w:p>
        </w:tc>
        <w:tc>
          <w:tcPr>
            <w:tcW w:w="2741" w:type="dxa"/>
            <w:gridSpan w:val="2"/>
            <w:tcBorders>
              <w:top w:val="dotted" w:sz="4" w:space="0" w:color="auto"/>
              <w:left w:val="nil"/>
              <w:bottom w:val="single" w:sz="4" w:space="0" w:color="auto"/>
              <w:right w:val="nil"/>
            </w:tcBorders>
            <w:vAlign w:val="bottom"/>
          </w:tcPr>
          <w:p w14:paraId="77CFD42C" w14:textId="77777777" w:rsidR="00B708E8" w:rsidRPr="00FD3E55" w:rsidRDefault="00B708E8" w:rsidP="00AC4652">
            <w:pPr>
              <w:jc w:val="both"/>
            </w:pPr>
          </w:p>
        </w:tc>
        <w:tc>
          <w:tcPr>
            <w:tcW w:w="236" w:type="dxa"/>
            <w:gridSpan w:val="2"/>
            <w:tcBorders>
              <w:top w:val="nil"/>
              <w:left w:val="nil"/>
              <w:bottom w:val="single" w:sz="4" w:space="0" w:color="auto"/>
              <w:right w:val="nil"/>
            </w:tcBorders>
            <w:vAlign w:val="bottom"/>
          </w:tcPr>
          <w:p w14:paraId="77CFD42D" w14:textId="77777777" w:rsidR="00B708E8" w:rsidRPr="00FD3E55" w:rsidRDefault="00B708E8" w:rsidP="00AC4652">
            <w:pPr>
              <w:jc w:val="both"/>
            </w:pPr>
          </w:p>
        </w:tc>
        <w:tc>
          <w:tcPr>
            <w:tcW w:w="898" w:type="dxa"/>
            <w:tcBorders>
              <w:top w:val="dotted" w:sz="4" w:space="0" w:color="auto"/>
              <w:left w:val="nil"/>
              <w:bottom w:val="single" w:sz="4" w:space="0" w:color="auto"/>
              <w:right w:val="nil"/>
            </w:tcBorders>
            <w:vAlign w:val="bottom"/>
          </w:tcPr>
          <w:p w14:paraId="77CFD42E" w14:textId="77777777" w:rsidR="00B708E8" w:rsidRPr="00FD3E55" w:rsidRDefault="00B708E8" w:rsidP="00AC4652">
            <w:pPr>
              <w:jc w:val="both"/>
            </w:pPr>
          </w:p>
        </w:tc>
        <w:tc>
          <w:tcPr>
            <w:tcW w:w="284" w:type="dxa"/>
            <w:tcBorders>
              <w:top w:val="nil"/>
              <w:left w:val="nil"/>
              <w:bottom w:val="single" w:sz="4" w:space="0" w:color="auto"/>
              <w:right w:val="nil"/>
            </w:tcBorders>
            <w:vAlign w:val="bottom"/>
          </w:tcPr>
          <w:p w14:paraId="77CFD42F" w14:textId="77777777" w:rsidR="00B708E8" w:rsidRPr="00FD3E55" w:rsidRDefault="00B708E8" w:rsidP="00AC4652">
            <w:pPr>
              <w:jc w:val="both"/>
            </w:pPr>
          </w:p>
        </w:tc>
        <w:tc>
          <w:tcPr>
            <w:tcW w:w="3118" w:type="dxa"/>
            <w:tcBorders>
              <w:top w:val="dotted" w:sz="4" w:space="0" w:color="auto"/>
              <w:left w:val="nil"/>
              <w:bottom w:val="single" w:sz="4" w:space="0" w:color="auto"/>
              <w:right w:val="nil"/>
            </w:tcBorders>
            <w:vAlign w:val="bottom"/>
          </w:tcPr>
          <w:p w14:paraId="77CFD430" w14:textId="77777777" w:rsidR="00B708E8" w:rsidRPr="00FD3E55" w:rsidRDefault="00B708E8" w:rsidP="00AC4652">
            <w:pPr>
              <w:jc w:val="both"/>
            </w:pPr>
          </w:p>
        </w:tc>
        <w:tc>
          <w:tcPr>
            <w:tcW w:w="236" w:type="dxa"/>
            <w:gridSpan w:val="2"/>
            <w:tcBorders>
              <w:top w:val="nil"/>
              <w:left w:val="nil"/>
              <w:bottom w:val="single" w:sz="4" w:space="0" w:color="auto"/>
              <w:right w:val="nil"/>
            </w:tcBorders>
            <w:vAlign w:val="bottom"/>
          </w:tcPr>
          <w:p w14:paraId="77CFD431" w14:textId="77777777" w:rsidR="00B708E8" w:rsidRPr="00FD3E55" w:rsidRDefault="00B708E8" w:rsidP="00AC4652">
            <w:pPr>
              <w:jc w:val="both"/>
            </w:pPr>
          </w:p>
        </w:tc>
        <w:tc>
          <w:tcPr>
            <w:tcW w:w="1324" w:type="dxa"/>
            <w:tcBorders>
              <w:top w:val="dotted" w:sz="4" w:space="0" w:color="auto"/>
              <w:left w:val="nil"/>
              <w:bottom w:val="single" w:sz="4" w:space="0" w:color="auto"/>
              <w:right w:val="nil"/>
            </w:tcBorders>
            <w:vAlign w:val="bottom"/>
          </w:tcPr>
          <w:p w14:paraId="77CFD432" w14:textId="77777777" w:rsidR="00B708E8" w:rsidRPr="00FD3E55" w:rsidRDefault="00B708E8" w:rsidP="00AC4652">
            <w:pPr>
              <w:jc w:val="both"/>
            </w:pPr>
          </w:p>
        </w:tc>
        <w:tc>
          <w:tcPr>
            <w:tcW w:w="283" w:type="dxa"/>
            <w:tcBorders>
              <w:top w:val="nil"/>
              <w:left w:val="nil"/>
              <w:bottom w:val="single" w:sz="4" w:space="0" w:color="auto"/>
              <w:right w:val="single" w:sz="4" w:space="0" w:color="auto"/>
            </w:tcBorders>
            <w:vAlign w:val="center"/>
          </w:tcPr>
          <w:p w14:paraId="77CFD433" w14:textId="77777777" w:rsidR="00B708E8" w:rsidRPr="00FD3E55" w:rsidRDefault="00B708E8" w:rsidP="00AC4652">
            <w:pPr>
              <w:jc w:val="both"/>
            </w:pPr>
          </w:p>
        </w:tc>
      </w:tr>
    </w:tbl>
    <w:p w14:paraId="77CFD435" w14:textId="77777777" w:rsidR="0057220C" w:rsidRPr="0096601C" w:rsidRDefault="0057220C" w:rsidP="00AC4652">
      <w:pPr>
        <w:jc w:val="both"/>
      </w:pPr>
    </w:p>
    <w:sectPr w:rsidR="0057220C" w:rsidRPr="0096601C" w:rsidSect="00F125D9">
      <w:headerReference w:type="default" r:id="rId8"/>
      <w:footerReference w:type="default" r:id="rId9"/>
      <w:pgSz w:w="11906" w:h="16838"/>
      <w:pgMar w:top="1417" w:right="1417" w:bottom="993" w:left="1417" w:header="426" w:footer="7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D2FBF" w14:textId="77777777" w:rsidR="0032132B" w:rsidRDefault="0032132B" w:rsidP="00151E02">
      <w:r>
        <w:separator/>
      </w:r>
    </w:p>
  </w:endnote>
  <w:endnote w:type="continuationSeparator" w:id="0">
    <w:p w14:paraId="50425B86" w14:textId="77777777" w:rsidR="0032132B" w:rsidRDefault="0032132B"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D44F" w14:textId="77777777" w:rsidR="005962E7" w:rsidRPr="00F5271C" w:rsidRDefault="00F5271C" w:rsidP="00F5271C">
    <w:pPr>
      <w:pStyle w:val="AltBilgi"/>
    </w:pPr>
    <w:r w:rsidRPr="00F5271C">
      <w:rPr>
        <w:rFonts w:ascii="Times New Roman" w:hAnsi="Times New Roman"/>
        <w:i/>
        <w:sz w:val="16"/>
        <w:szCs w:val="16"/>
      </w:rPr>
      <w:t xml:space="preserve">(Form No: FR- </w:t>
    </w:r>
    <w:proofErr w:type="gramStart"/>
    <w:r w:rsidRPr="00F5271C">
      <w:rPr>
        <w:rFonts w:ascii="Times New Roman" w:hAnsi="Times New Roman"/>
        <w:i/>
        <w:sz w:val="16"/>
        <w:szCs w:val="16"/>
      </w:rPr>
      <w:t>174 ; Revizyon</w:t>
    </w:r>
    <w:proofErr w:type="gramEnd"/>
    <w:r w:rsidRPr="00F5271C">
      <w:rPr>
        <w:rFonts w:ascii="Times New Roman" w:hAnsi="Times New Roman"/>
        <w:i/>
        <w:sz w:val="16"/>
        <w:szCs w:val="16"/>
      </w:rPr>
      <w:t xml:space="preserve"> Tarihi:10/03/2017; Revizyon No:1)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7F925" w14:textId="77777777" w:rsidR="0032132B" w:rsidRDefault="0032132B" w:rsidP="00151E02">
      <w:r>
        <w:separator/>
      </w:r>
    </w:p>
  </w:footnote>
  <w:footnote w:type="continuationSeparator" w:id="0">
    <w:p w14:paraId="4B717EEA" w14:textId="77777777" w:rsidR="0032132B" w:rsidRDefault="0032132B" w:rsidP="0015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1" w:type="dxa"/>
      <w:tblInd w:w="-147" w:type="dxa"/>
      <w:tblLayout w:type="fixed"/>
      <w:tblLook w:val="04A0" w:firstRow="1" w:lastRow="0" w:firstColumn="1" w:lastColumn="0" w:noHBand="0" w:noVBand="1"/>
    </w:tblPr>
    <w:tblGrid>
      <w:gridCol w:w="1418"/>
      <w:gridCol w:w="6667"/>
      <w:gridCol w:w="1276"/>
    </w:tblGrid>
    <w:tr w:rsidR="001C757E" w:rsidRPr="004B29C4" w14:paraId="77CFD43D" w14:textId="77777777" w:rsidTr="008B056C">
      <w:trPr>
        <w:trHeight w:val="276"/>
      </w:trPr>
      <w:tc>
        <w:tcPr>
          <w:tcW w:w="1418" w:type="dxa"/>
          <w:vMerge w:val="restart"/>
          <w:shd w:val="clear" w:color="auto" w:fill="auto"/>
          <w:vAlign w:val="center"/>
        </w:tcPr>
        <w:p w14:paraId="77CFD43A" w14:textId="77777777" w:rsidR="001C757E" w:rsidRPr="004B29C4" w:rsidRDefault="00F125D9" w:rsidP="00F125D9">
          <w:pPr>
            <w:tabs>
              <w:tab w:val="right" w:pos="1202"/>
              <w:tab w:val="center" w:pos="4536"/>
            </w:tabs>
            <w:jc w:val="center"/>
            <w:rPr>
              <w:rFonts w:ascii="Arial" w:eastAsia="Calibri" w:hAnsi="Arial" w:cs="Arial"/>
              <w:snapToGrid/>
              <w:szCs w:val="22"/>
              <w:lang w:eastAsia="en-US"/>
            </w:rPr>
          </w:pPr>
          <w:r w:rsidRPr="00857380">
            <w:rPr>
              <w:rFonts w:ascii="Arial" w:hAnsi="Arial" w:cs="Arial"/>
              <w:noProof/>
            </w:rPr>
            <w:drawing>
              <wp:inline distT="0" distB="0" distL="0" distR="0" wp14:anchorId="77CFD450" wp14:editId="77CFD451">
                <wp:extent cx="720000" cy="720000"/>
                <wp:effectExtent l="19050" t="0" r="3900" b="0"/>
                <wp:docPr id="84" name="Resim 84" descr="20160226_ahievran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a:stretch>
                          <a:fillRect/>
                        </a:stretch>
                      </pic:blipFill>
                      <pic:spPr bwMode="auto">
                        <a:xfrm>
                          <a:off x="0" y="0"/>
                          <a:ext cx="720000" cy="720000"/>
                        </a:xfrm>
                        <a:prstGeom prst="rect">
                          <a:avLst/>
                        </a:prstGeom>
                        <a:noFill/>
                        <a:ln>
                          <a:noFill/>
                        </a:ln>
                      </pic:spPr>
                    </pic:pic>
                  </a:graphicData>
                </a:graphic>
              </wp:inline>
            </w:drawing>
          </w:r>
        </w:p>
      </w:tc>
      <w:tc>
        <w:tcPr>
          <w:tcW w:w="6667" w:type="dxa"/>
          <w:vMerge w:val="restart"/>
          <w:shd w:val="clear" w:color="auto" w:fill="auto"/>
          <w:vAlign w:val="center"/>
        </w:tcPr>
        <w:p w14:paraId="77CFD43B" w14:textId="77777777" w:rsidR="001C757E" w:rsidRPr="006353B2" w:rsidRDefault="00FD3E55" w:rsidP="00494808">
          <w:pPr>
            <w:jc w:val="center"/>
            <w:rPr>
              <w:rFonts w:ascii="Calibri" w:eastAsia="Calibri" w:hAnsi="Calibri" w:cs="Calibri"/>
              <w:b/>
              <w:snapToGrid/>
              <w:sz w:val="28"/>
              <w:szCs w:val="28"/>
              <w:lang w:eastAsia="en-US"/>
            </w:rPr>
          </w:pPr>
          <w:r w:rsidRPr="00FD3E55">
            <w:rPr>
              <w:rFonts w:ascii="Times New Roman" w:eastAsia="Calibri" w:hAnsi="Times New Roman"/>
              <w:b/>
              <w:snapToGrid/>
              <w:sz w:val="28"/>
              <w:szCs w:val="28"/>
              <w:lang w:eastAsia="en-US"/>
            </w:rPr>
            <w:t>KAL</w:t>
          </w:r>
          <w:r w:rsidRPr="00FD3E55">
            <w:rPr>
              <w:rFonts w:ascii="Times New Roman" w:eastAsia="Calibri" w:hAnsi="Times New Roman" w:hint="eastAsia"/>
              <w:b/>
              <w:snapToGrid/>
              <w:sz w:val="28"/>
              <w:szCs w:val="28"/>
              <w:lang w:eastAsia="en-US"/>
            </w:rPr>
            <w:t>İ</w:t>
          </w:r>
          <w:r w:rsidRPr="00FD3E55">
            <w:rPr>
              <w:rFonts w:ascii="Times New Roman" w:eastAsia="Calibri" w:hAnsi="Times New Roman"/>
              <w:b/>
              <w:snapToGrid/>
              <w:sz w:val="28"/>
              <w:szCs w:val="28"/>
              <w:lang w:eastAsia="en-US"/>
            </w:rPr>
            <w:t>TE Y</w:t>
          </w:r>
          <w:r w:rsidRPr="00FD3E55">
            <w:rPr>
              <w:rFonts w:ascii="Times New Roman" w:eastAsia="Calibri" w:hAnsi="Times New Roman" w:hint="eastAsia"/>
              <w:b/>
              <w:snapToGrid/>
              <w:sz w:val="28"/>
              <w:szCs w:val="28"/>
              <w:lang w:eastAsia="en-US"/>
            </w:rPr>
            <w:t>Ö</w:t>
          </w:r>
          <w:r w:rsidRPr="00FD3E55">
            <w:rPr>
              <w:rFonts w:ascii="Times New Roman" w:eastAsia="Calibri" w:hAnsi="Times New Roman"/>
              <w:b/>
              <w:snapToGrid/>
              <w:sz w:val="28"/>
              <w:szCs w:val="28"/>
              <w:lang w:eastAsia="en-US"/>
            </w:rPr>
            <w:t>NET</w:t>
          </w:r>
          <w:r w:rsidRPr="00FD3E55">
            <w:rPr>
              <w:rFonts w:ascii="Times New Roman" w:eastAsia="Calibri" w:hAnsi="Times New Roman" w:hint="eastAsia"/>
              <w:b/>
              <w:snapToGrid/>
              <w:sz w:val="28"/>
              <w:szCs w:val="28"/>
              <w:lang w:eastAsia="en-US"/>
            </w:rPr>
            <w:t>İ</w:t>
          </w:r>
          <w:r w:rsidRPr="00FD3E55">
            <w:rPr>
              <w:rFonts w:ascii="Times New Roman" w:eastAsia="Calibri" w:hAnsi="Times New Roman"/>
              <w:b/>
              <w:snapToGrid/>
              <w:sz w:val="28"/>
              <w:szCs w:val="28"/>
              <w:lang w:eastAsia="en-US"/>
            </w:rPr>
            <w:t>M KOORD</w:t>
          </w:r>
          <w:r w:rsidRPr="00FD3E55">
            <w:rPr>
              <w:rFonts w:ascii="Times New Roman" w:eastAsia="Calibri" w:hAnsi="Times New Roman" w:hint="eastAsia"/>
              <w:b/>
              <w:snapToGrid/>
              <w:sz w:val="28"/>
              <w:szCs w:val="28"/>
              <w:lang w:eastAsia="en-US"/>
            </w:rPr>
            <w:t>İ</w:t>
          </w:r>
          <w:r w:rsidRPr="00FD3E55">
            <w:rPr>
              <w:rFonts w:ascii="Times New Roman" w:eastAsia="Calibri" w:hAnsi="Times New Roman"/>
              <w:b/>
              <w:snapToGrid/>
              <w:sz w:val="28"/>
              <w:szCs w:val="28"/>
              <w:lang w:eastAsia="en-US"/>
            </w:rPr>
            <w:t>NAT</w:t>
          </w:r>
          <w:r w:rsidRPr="00FD3E55">
            <w:rPr>
              <w:rFonts w:ascii="Times New Roman" w:eastAsia="Calibri" w:hAnsi="Times New Roman" w:hint="eastAsia"/>
              <w:b/>
              <w:snapToGrid/>
              <w:sz w:val="28"/>
              <w:szCs w:val="28"/>
              <w:lang w:eastAsia="en-US"/>
            </w:rPr>
            <w:t>Ö</w:t>
          </w:r>
          <w:r w:rsidRPr="00FD3E55">
            <w:rPr>
              <w:rFonts w:ascii="Times New Roman" w:eastAsia="Calibri" w:hAnsi="Times New Roman"/>
              <w:b/>
              <w:snapToGrid/>
              <w:sz w:val="28"/>
              <w:szCs w:val="28"/>
              <w:lang w:eastAsia="en-US"/>
            </w:rPr>
            <w:t>RL</w:t>
          </w:r>
          <w:r w:rsidRPr="00FD3E55">
            <w:rPr>
              <w:rFonts w:ascii="Times New Roman" w:eastAsia="Calibri" w:hAnsi="Times New Roman" w:hint="eastAsia"/>
              <w:b/>
              <w:snapToGrid/>
              <w:sz w:val="28"/>
              <w:szCs w:val="28"/>
              <w:lang w:eastAsia="en-US"/>
            </w:rPr>
            <w:t>ÜĞÜ</w:t>
          </w:r>
          <w:r w:rsidR="00494808">
            <w:rPr>
              <w:rFonts w:ascii="Times New Roman" w:eastAsia="Calibri" w:hAnsi="Times New Roman"/>
              <w:b/>
              <w:snapToGrid/>
              <w:sz w:val="28"/>
              <w:szCs w:val="28"/>
              <w:lang w:eastAsia="en-US"/>
            </w:rPr>
            <w:br/>
          </w:r>
          <w:r w:rsidRPr="00FD3E55">
            <w:rPr>
              <w:rFonts w:ascii="Times New Roman" w:eastAsia="Calibri" w:hAnsi="Times New Roman" w:hint="eastAsia"/>
              <w:b/>
              <w:snapToGrid/>
              <w:sz w:val="28"/>
              <w:szCs w:val="28"/>
              <w:lang w:eastAsia="en-US"/>
            </w:rPr>
            <w:t>İÇ</w:t>
          </w:r>
          <w:r w:rsidR="00012B50">
            <w:rPr>
              <w:rFonts w:ascii="Times New Roman" w:eastAsia="Calibri" w:hAnsi="Times New Roman"/>
              <w:b/>
              <w:snapToGrid/>
              <w:sz w:val="28"/>
              <w:szCs w:val="28"/>
              <w:lang w:eastAsia="en-US"/>
            </w:rPr>
            <w:t xml:space="preserve"> </w:t>
          </w:r>
          <w:r w:rsidR="00494808">
            <w:rPr>
              <w:rFonts w:ascii="Times New Roman" w:eastAsia="Calibri" w:hAnsi="Times New Roman"/>
              <w:b/>
              <w:snapToGrid/>
              <w:sz w:val="28"/>
              <w:szCs w:val="28"/>
              <w:lang w:eastAsia="en-US"/>
            </w:rPr>
            <w:t xml:space="preserve">DEĞERLENDİRME </w:t>
          </w:r>
          <w:r w:rsidRPr="00FD3E55">
            <w:rPr>
              <w:rFonts w:ascii="Times New Roman" w:eastAsia="Calibri" w:hAnsi="Times New Roman"/>
              <w:b/>
              <w:snapToGrid/>
              <w:sz w:val="28"/>
              <w:szCs w:val="28"/>
              <w:lang w:eastAsia="en-US"/>
            </w:rPr>
            <w:t>RAPORU</w:t>
          </w:r>
        </w:p>
      </w:tc>
      <w:tc>
        <w:tcPr>
          <w:tcW w:w="1276" w:type="dxa"/>
          <w:shd w:val="clear" w:color="auto" w:fill="auto"/>
          <w:vAlign w:val="center"/>
        </w:tcPr>
        <w:p w14:paraId="77CFD43C" w14:textId="77777777"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14:paraId="77CFD441" w14:textId="77777777" w:rsidTr="008B056C">
      <w:trPr>
        <w:trHeight w:val="276"/>
      </w:trPr>
      <w:tc>
        <w:tcPr>
          <w:tcW w:w="1418" w:type="dxa"/>
          <w:vMerge/>
          <w:shd w:val="clear" w:color="auto" w:fill="auto"/>
          <w:vAlign w:val="center"/>
        </w:tcPr>
        <w:p w14:paraId="77CFD43E" w14:textId="77777777"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667" w:type="dxa"/>
          <w:vMerge/>
          <w:shd w:val="clear" w:color="auto" w:fill="auto"/>
          <w:vAlign w:val="center"/>
        </w:tcPr>
        <w:p w14:paraId="77CFD43F" w14:textId="77777777"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276" w:type="dxa"/>
          <w:shd w:val="clear" w:color="auto" w:fill="auto"/>
          <w:vAlign w:val="center"/>
        </w:tcPr>
        <w:p w14:paraId="77CFD440" w14:textId="77777777"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14:paraId="77CFD445" w14:textId="77777777" w:rsidTr="008B056C">
      <w:trPr>
        <w:trHeight w:val="276"/>
      </w:trPr>
      <w:tc>
        <w:tcPr>
          <w:tcW w:w="1418" w:type="dxa"/>
          <w:vMerge/>
          <w:shd w:val="clear" w:color="auto" w:fill="auto"/>
          <w:vAlign w:val="center"/>
        </w:tcPr>
        <w:p w14:paraId="77CFD442" w14:textId="77777777"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667" w:type="dxa"/>
          <w:vMerge/>
          <w:shd w:val="clear" w:color="auto" w:fill="auto"/>
          <w:vAlign w:val="center"/>
        </w:tcPr>
        <w:p w14:paraId="77CFD443" w14:textId="77777777"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276" w:type="dxa"/>
          <w:shd w:val="clear" w:color="auto" w:fill="auto"/>
          <w:vAlign w:val="center"/>
        </w:tcPr>
        <w:p w14:paraId="77CFD444" w14:textId="77777777"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14:paraId="77CFD449" w14:textId="77777777" w:rsidTr="008B056C">
      <w:trPr>
        <w:trHeight w:val="276"/>
      </w:trPr>
      <w:tc>
        <w:tcPr>
          <w:tcW w:w="1418" w:type="dxa"/>
          <w:vMerge/>
          <w:shd w:val="clear" w:color="auto" w:fill="auto"/>
          <w:vAlign w:val="center"/>
        </w:tcPr>
        <w:p w14:paraId="77CFD446" w14:textId="77777777"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667" w:type="dxa"/>
          <w:vMerge/>
          <w:shd w:val="clear" w:color="auto" w:fill="auto"/>
          <w:vAlign w:val="center"/>
        </w:tcPr>
        <w:p w14:paraId="77CFD447" w14:textId="77777777"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276" w:type="dxa"/>
          <w:shd w:val="clear" w:color="auto" w:fill="auto"/>
          <w:vAlign w:val="center"/>
        </w:tcPr>
        <w:p w14:paraId="77CFD448" w14:textId="77777777"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14:paraId="77CFD44D" w14:textId="77777777" w:rsidTr="008B056C">
      <w:trPr>
        <w:trHeight w:val="255"/>
      </w:trPr>
      <w:tc>
        <w:tcPr>
          <w:tcW w:w="1418" w:type="dxa"/>
          <w:vMerge/>
          <w:shd w:val="clear" w:color="auto" w:fill="auto"/>
          <w:vAlign w:val="center"/>
        </w:tcPr>
        <w:p w14:paraId="77CFD44A" w14:textId="77777777"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667" w:type="dxa"/>
          <w:vMerge/>
          <w:shd w:val="clear" w:color="auto" w:fill="auto"/>
          <w:vAlign w:val="center"/>
        </w:tcPr>
        <w:p w14:paraId="77CFD44B" w14:textId="77777777"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276" w:type="dxa"/>
          <w:shd w:val="clear" w:color="auto" w:fill="auto"/>
          <w:vAlign w:val="center"/>
        </w:tcPr>
        <w:p w14:paraId="77CFD44C" w14:textId="77777777" w:rsidR="001C757E" w:rsidRPr="004B29C4" w:rsidRDefault="001C757E" w:rsidP="004B29C4">
          <w:pPr>
            <w:tabs>
              <w:tab w:val="center" w:pos="4536"/>
              <w:tab w:val="right" w:pos="9072"/>
            </w:tabs>
            <w:rPr>
              <w:rFonts w:ascii="Arial" w:eastAsia="Calibri" w:hAnsi="Arial" w:cs="Arial"/>
              <w:snapToGrid/>
              <w:sz w:val="18"/>
              <w:szCs w:val="22"/>
              <w:lang w:eastAsia="en-US"/>
            </w:rPr>
          </w:pPr>
        </w:p>
      </w:tc>
    </w:tr>
  </w:tbl>
  <w:p w14:paraId="77CFD44E" w14:textId="77777777" w:rsidR="006E6916" w:rsidRDefault="006E691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12B50"/>
    <w:rsid w:val="00025874"/>
    <w:rsid w:val="00051B6C"/>
    <w:rsid w:val="000532CC"/>
    <w:rsid w:val="00057A15"/>
    <w:rsid w:val="000612EE"/>
    <w:rsid w:val="000808A7"/>
    <w:rsid w:val="00090159"/>
    <w:rsid w:val="000909EF"/>
    <w:rsid w:val="000B1D35"/>
    <w:rsid w:val="000B2628"/>
    <w:rsid w:val="000B7D9F"/>
    <w:rsid w:val="000C5CF1"/>
    <w:rsid w:val="000D5E8B"/>
    <w:rsid w:val="000D68C7"/>
    <w:rsid w:val="000E0E11"/>
    <w:rsid w:val="000E661A"/>
    <w:rsid w:val="000F46D5"/>
    <w:rsid w:val="000F5B93"/>
    <w:rsid w:val="00103232"/>
    <w:rsid w:val="0010666D"/>
    <w:rsid w:val="0010718A"/>
    <w:rsid w:val="001155E6"/>
    <w:rsid w:val="00121480"/>
    <w:rsid w:val="00146ED1"/>
    <w:rsid w:val="00151E02"/>
    <w:rsid w:val="00156C4A"/>
    <w:rsid w:val="0015788B"/>
    <w:rsid w:val="00157A78"/>
    <w:rsid w:val="0017048E"/>
    <w:rsid w:val="0017200F"/>
    <w:rsid w:val="00173494"/>
    <w:rsid w:val="00181C47"/>
    <w:rsid w:val="001907B2"/>
    <w:rsid w:val="001919AE"/>
    <w:rsid w:val="00195ADF"/>
    <w:rsid w:val="0019739E"/>
    <w:rsid w:val="001B346A"/>
    <w:rsid w:val="001C4D48"/>
    <w:rsid w:val="001C757E"/>
    <w:rsid w:val="001C7BEE"/>
    <w:rsid w:val="001D2DA3"/>
    <w:rsid w:val="001D5385"/>
    <w:rsid w:val="001E0B90"/>
    <w:rsid w:val="001F1009"/>
    <w:rsid w:val="00216B6F"/>
    <w:rsid w:val="00222765"/>
    <w:rsid w:val="00223D79"/>
    <w:rsid w:val="002258BC"/>
    <w:rsid w:val="002278A2"/>
    <w:rsid w:val="00231028"/>
    <w:rsid w:val="00231348"/>
    <w:rsid w:val="00234D19"/>
    <w:rsid w:val="00236798"/>
    <w:rsid w:val="00236D2B"/>
    <w:rsid w:val="00256D23"/>
    <w:rsid w:val="00257CA2"/>
    <w:rsid w:val="00260230"/>
    <w:rsid w:val="00260985"/>
    <w:rsid w:val="00261083"/>
    <w:rsid w:val="00265130"/>
    <w:rsid w:val="002714E7"/>
    <w:rsid w:val="00281EDB"/>
    <w:rsid w:val="00284927"/>
    <w:rsid w:val="00284C57"/>
    <w:rsid w:val="00292330"/>
    <w:rsid w:val="00293FE8"/>
    <w:rsid w:val="00294E31"/>
    <w:rsid w:val="002A0B19"/>
    <w:rsid w:val="002A16C7"/>
    <w:rsid w:val="002A31C3"/>
    <w:rsid w:val="002A55D3"/>
    <w:rsid w:val="002B4313"/>
    <w:rsid w:val="002B4F5D"/>
    <w:rsid w:val="002B5D4B"/>
    <w:rsid w:val="002C1651"/>
    <w:rsid w:val="002C468C"/>
    <w:rsid w:val="002D1962"/>
    <w:rsid w:val="002E0759"/>
    <w:rsid w:val="002E2B65"/>
    <w:rsid w:val="002E5073"/>
    <w:rsid w:val="00306984"/>
    <w:rsid w:val="003105D0"/>
    <w:rsid w:val="00316B06"/>
    <w:rsid w:val="00317E3D"/>
    <w:rsid w:val="00320C9A"/>
    <w:rsid w:val="0032132B"/>
    <w:rsid w:val="00324675"/>
    <w:rsid w:val="0032637F"/>
    <w:rsid w:val="00326E41"/>
    <w:rsid w:val="0033006A"/>
    <w:rsid w:val="00335A8D"/>
    <w:rsid w:val="003513D8"/>
    <w:rsid w:val="00357D93"/>
    <w:rsid w:val="00363B4F"/>
    <w:rsid w:val="0037055D"/>
    <w:rsid w:val="003829B1"/>
    <w:rsid w:val="00387548"/>
    <w:rsid w:val="003942A8"/>
    <w:rsid w:val="00397909"/>
    <w:rsid w:val="003A6785"/>
    <w:rsid w:val="003B0152"/>
    <w:rsid w:val="003B048A"/>
    <w:rsid w:val="003B1E80"/>
    <w:rsid w:val="003B5E20"/>
    <w:rsid w:val="003C259B"/>
    <w:rsid w:val="003D5653"/>
    <w:rsid w:val="003D6290"/>
    <w:rsid w:val="003E6BC4"/>
    <w:rsid w:val="003F64ED"/>
    <w:rsid w:val="0040388F"/>
    <w:rsid w:val="00435046"/>
    <w:rsid w:val="0044085D"/>
    <w:rsid w:val="00446788"/>
    <w:rsid w:val="0045325F"/>
    <w:rsid w:val="004568A2"/>
    <w:rsid w:val="00460D18"/>
    <w:rsid w:val="0046148B"/>
    <w:rsid w:val="00494808"/>
    <w:rsid w:val="004A7969"/>
    <w:rsid w:val="004B29C4"/>
    <w:rsid w:val="004D55AB"/>
    <w:rsid w:val="004F0937"/>
    <w:rsid w:val="00505B64"/>
    <w:rsid w:val="0051628C"/>
    <w:rsid w:val="00520561"/>
    <w:rsid w:val="00525256"/>
    <w:rsid w:val="00525A21"/>
    <w:rsid w:val="00527D16"/>
    <w:rsid w:val="00531CEB"/>
    <w:rsid w:val="00537F3A"/>
    <w:rsid w:val="00541372"/>
    <w:rsid w:val="005426F7"/>
    <w:rsid w:val="00545BB1"/>
    <w:rsid w:val="0054606D"/>
    <w:rsid w:val="005606F2"/>
    <w:rsid w:val="00561ABE"/>
    <w:rsid w:val="00566B89"/>
    <w:rsid w:val="0057220C"/>
    <w:rsid w:val="005812A9"/>
    <w:rsid w:val="0058289A"/>
    <w:rsid w:val="00584602"/>
    <w:rsid w:val="005962E7"/>
    <w:rsid w:val="005B2FE0"/>
    <w:rsid w:val="005C3FFA"/>
    <w:rsid w:val="005C60E8"/>
    <w:rsid w:val="005D2AA1"/>
    <w:rsid w:val="005D47B0"/>
    <w:rsid w:val="005D6854"/>
    <w:rsid w:val="005D7F2E"/>
    <w:rsid w:val="005E0A69"/>
    <w:rsid w:val="005E7B59"/>
    <w:rsid w:val="005F46EF"/>
    <w:rsid w:val="005F4A62"/>
    <w:rsid w:val="00621FAC"/>
    <w:rsid w:val="0062381B"/>
    <w:rsid w:val="00623F76"/>
    <w:rsid w:val="0063195E"/>
    <w:rsid w:val="006353B2"/>
    <w:rsid w:val="00642FDA"/>
    <w:rsid w:val="006558FA"/>
    <w:rsid w:val="006657D9"/>
    <w:rsid w:val="00666341"/>
    <w:rsid w:val="00676754"/>
    <w:rsid w:val="00681E2D"/>
    <w:rsid w:val="00683A23"/>
    <w:rsid w:val="00690393"/>
    <w:rsid w:val="00696295"/>
    <w:rsid w:val="006963FE"/>
    <w:rsid w:val="006A3F2D"/>
    <w:rsid w:val="006B1CCF"/>
    <w:rsid w:val="006B7055"/>
    <w:rsid w:val="006C38AD"/>
    <w:rsid w:val="006C5D5C"/>
    <w:rsid w:val="006D31F0"/>
    <w:rsid w:val="006D437E"/>
    <w:rsid w:val="006D5FE9"/>
    <w:rsid w:val="006D6497"/>
    <w:rsid w:val="006D70DE"/>
    <w:rsid w:val="006E6916"/>
    <w:rsid w:val="006E72B9"/>
    <w:rsid w:val="00712447"/>
    <w:rsid w:val="007160C8"/>
    <w:rsid w:val="00725D4C"/>
    <w:rsid w:val="007421B5"/>
    <w:rsid w:val="00751041"/>
    <w:rsid w:val="00755756"/>
    <w:rsid w:val="007611E5"/>
    <w:rsid w:val="0078385B"/>
    <w:rsid w:val="00795CD8"/>
    <w:rsid w:val="00797E75"/>
    <w:rsid w:val="007A6798"/>
    <w:rsid w:val="007A7B4D"/>
    <w:rsid w:val="007C493C"/>
    <w:rsid w:val="007C6E06"/>
    <w:rsid w:val="007D6E8E"/>
    <w:rsid w:val="007D7667"/>
    <w:rsid w:val="007E0031"/>
    <w:rsid w:val="007E10EA"/>
    <w:rsid w:val="007E55EA"/>
    <w:rsid w:val="007E6147"/>
    <w:rsid w:val="007E746A"/>
    <w:rsid w:val="007E784D"/>
    <w:rsid w:val="00800022"/>
    <w:rsid w:val="0080581C"/>
    <w:rsid w:val="00810FA5"/>
    <w:rsid w:val="00821B50"/>
    <w:rsid w:val="0082419D"/>
    <w:rsid w:val="00824B46"/>
    <w:rsid w:val="00831055"/>
    <w:rsid w:val="0083698D"/>
    <w:rsid w:val="0084101A"/>
    <w:rsid w:val="008454FA"/>
    <w:rsid w:val="00853FED"/>
    <w:rsid w:val="00856FE6"/>
    <w:rsid w:val="00864C27"/>
    <w:rsid w:val="00865427"/>
    <w:rsid w:val="00874921"/>
    <w:rsid w:val="00877016"/>
    <w:rsid w:val="00882586"/>
    <w:rsid w:val="00886DC9"/>
    <w:rsid w:val="00892F1F"/>
    <w:rsid w:val="008A32B5"/>
    <w:rsid w:val="008A3C41"/>
    <w:rsid w:val="008B056C"/>
    <w:rsid w:val="008B4436"/>
    <w:rsid w:val="008B6E5E"/>
    <w:rsid w:val="008C41B1"/>
    <w:rsid w:val="008D13F3"/>
    <w:rsid w:val="008E2B67"/>
    <w:rsid w:val="0090717E"/>
    <w:rsid w:val="00916B58"/>
    <w:rsid w:val="009236A2"/>
    <w:rsid w:val="00926567"/>
    <w:rsid w:val="0093430E"/>
    <w:rsid w:val="00935B2B"/>
    <w:rsid w:val="0095388A"/>
    <w:rsid w:val="0096601C"/>
    <w:rsid w:val="00966363"/>
    <w:rsid w:val="00967405"/>
    <w:rsid w:val="009751DB"/>
    <w:rsid w:val="00991329"/>
    <w:rsid w:val="00991F1D"/>
    <w:rsid w:val="009A2DEA"/>
    <w:rsid w:val="009A7CAF"/>
    <w:rsid w:val="009B1AF8"/>
    <w:rsid w:val="009C7635"/>
    <w:rsid w:val="009D40F8"/>
    <w:rsid w:val="009E1C75"/>
    <w:rsid w:val="009E28EE"/>
    <w:rsid w:val="009E330C"/>
    <w:rsid w:val="009E4C12"/>
    <w:rsid w:val="009E6439"/>
    <w:rsid w:val="009F39AB"/>
    <w:rsid w:val="009F64E6"/>
    <w:rsid w:val="00A022DE"/>
    <w:rsid w:val="00A02657"/>
    <w:rsid w:val="00A02B3D"/>
    <w:rsid w:val="00A17A76"/>
    <w:rsid w:val="00A22E0A"/>
    <w:rsid w:val="00A37F78"/>
    <w:rsid w:val="00A43D77"/>
    <w:rsid w:val="00A43DFF"/>
    <w:rsid w:val="00A4547A"/>
    <w:rsid w:val="00A479F8"/>
    <w:rsid w:val="00A51B1C"/>
    <w:rsid w:val="00A53A80"/>
    <w:rsid w:val="00A53EAD"/>
    <w:rsid w:val="00A55022"/>
    <w:rsid w:val="00A6252B"/>
    <w:rsid w:val="00A632E7"/>
    <w:rsid w:val="00A6739B"/>
    <w:rsid w:val="00A73812"/>
    <w:rsid w:val="00A774B4"/>
    <w:rsid w:val="00A94E35"/>
    <w:rsid w:val="00AA7A04"/>
    <w:rsid w:val="00AB1C69"/>
    <w:rsid w:val="00AB7E9E"/>
    <w:rsid w:val="00AC29C4"/>
    <w:rsid w:val="00AC32F2"/>
    <w:rsid w:val="00AC3F0A"/>
    <w:rsid w:val="00AC4652"/>
    <w:rsid w:val="00AD3691"/>
    <w:rsid w:val="00AD3C70"/>
    <w:rsid w:val="00AD4092"/>
    <w:rsid w:val="00AD6027"/>
    <w:rsid w:val="00AD6B4C"/>
    <w:rsid w:val="00AE4B34"/>
    <w:rsid w:val="00AF3EE5"/>
    <w:rsid w:val="00AF7848"/>
    <w:rsid w:val="00B11169"/>
    <w:rsid w:val="00B2398A"/>
    <w:rsid w:val="00B25FE0"/>
    <w:rsid w:val="00B271FA"/>
    <w:rsid w:val="00B27979"/>
    <w:rsid w:val="00B34C1E"/>
    <w:rsid w:val="00B4253A"/>
    <w:rsid w:val="00B42FE4"/>
    <w:rsid w:val="00B5048D"/>
    <w:rsid w:val="00B514B8"/>
    <w:rsid w:val="00B578B3"/>
    <w:rsid w:val="00B60FD1"/>
    <w:rsid w:val="00B708E8"/>
    <w:rsid w:val="00B71F1A"/>
    <w:rsid w:val="00B71F76"/>
    <w:rsid w:val="00B73D55"/>
    <w:rsid w:val="00B756C7"/>
    <w:rsid w:val="00B75860"/>
    <w:rsid w:val="00B82F11"/>
    <w:rsid w:val="00B86727"/>
    <w:rsid w:val="00BA3311"/>
    <w:rsid w:val="00BA698E"/>
    <w:rsid w:val="00BB25C9"/>
    <w:rsid w:val="00BB66A3"/>
    <w:rsid w:val="00BD3B1C"/>
    <w:rsid w:val="00BF096B"/>
    <w:rsid w:val="00C01B48"/>
    <w:rsid w:val="00C01DEF"/>
    <w:rsid w:val="00C10130"/>
    <w:rsid w:val="00C25E85"/>
    <w:rsid w:val="00C308F8"/>
    <w:rsid w:val="00C332BF"/>
    <w:rsid w:val="00C3470D"/>
    <w:rsid w:val="00C34E1C"/>
    <w:rsid w:val="00C37227"/>
    <w:rsid w:val="00C4220F"/>
    <w:rsid w:val="00C4417B"/>
    <w:rsid w:val="00C4679D"/>
    <w:rsid w:val="00C546A2"/>
    <w:rsid w:val="00C61201"/>
    <w:rsid w:val="00C63CAF"/>
    <w:rsid w:val="00C67263"/>
    <w:rsid w:val="00C77BDD"/>
    <w:rsid w:val="00C821F5"/>
    <w:rsid w:val="00C8370C"/>
    <w:rsid w:val="00C97B87"/>
    <w:rsid w:val="00CB2C1C"/>
    <w:rsid w:val="00CB2E4D"/>
    <w:rsid w:val="00CB76E3"/>
    <w:rsid w:val="00CC11F1"/>
    <w:rsid w:val="00CD2A1D"/>
    <w:rsid w:val="00CF513C"/>
    <w:rsid w:val="00D07FF8"/>
    <w:rsid w:val="00D320AB"/>
    <w:rsid w:val="00D44B09"/>
    <w:rsid w:val="00D455A7"/>
    <w:rsid w:val="00D477E0"/>
    <w:rsid w:val="00D62D18"/>
    <w:rsid w:val="00D63423"/>
    <w:rsid w:val="00D8020F"/>
    <w:rsid w:val="00DB2327"/>
    <w:rsid w:val="00DB5492"/>
    <w:rsid w:val="00DB7EF9"/>
    <w:rsid w:val="00DD289B"/>
    <w:rsid w:val="00DD2BCB"/>
    <w:rsid w:val="00DD5DE1"/>
    <w:rsid w:val="00DF0203"/>
    <w:rsid w:val="00DF3D02"/>
    <w:rsid w:val="00DF5632"/>
    <w:rsid w:val="00E001AE"/>
    <w:rsid w:val="00E04BEC"/>
    <w:rsid w:val="00E16D71"/>
    <w:rsid w:val="00E20113"/>
    <w:rsid w:val="00E260E2"/>
    <w:rsid w:val="00E30A06"/>
    <w:rsid w:val="00E33DAA"/>
    <w:rsid w:val="00E465C6"/>
    <w:rsid w:val="00E577F7"/>
    <w:rsid w:val="00E62DC9"/>
    <w:rsid w:val="00E650F6"/>
    <w:rsid w:val="00E65A19"/>
    <w:rsid w:val="00E67E88"/>
    <w:rsid w:val="00E72ECE"/>
    <w:rsid w:val="00E76A31"/>
    <w:rsid w:val="00E830EE"/>
    <w:rsid w:val="00E93393"/>
    <w:rsid w:val="00EB38F7"/>
    <w:rsid w:val="00EB5D68"/>
    <w:rsid w:val="00EE6110"/>
    <w:rsid w:val="00EF0029"/>
    <w:rsid w:val="00EF7ADE"/>
    <w:rsid w:val="00F01B7D"/>
    <w:rsid w:val="00F125D9"/>
    <w:rsid w:val="00F14447"/>
    <w:rsid w:val="00F246C8"/>
    <w:rsid w:val="00F31207"/>
    <w:rsid w:val="00F33C6B"/>
    <w:rsid w:val="00F34118"/>
    <w:rsid w:val="00F4037A"/>
    <w:rsid w:val="00F44A58"/>
    <w:rsid w:val="00F5271C"/>
    <w:rsid w:val="00F64A9F"/>
    <w:rsid w:val="00F6787D"/>
    <w:rsid w:val="00F724AA"/>
    <w:rsid w:val="00F80FD0"/>
    <w:rsid w:val="00F91B35"/>
    <w:rsid w:val="00F9369C"/>
    <w:rsid w:val="00F95976"/>
    <w:rsid w:val="00FA5115"/>
    <w:rsid w:val="00FA61AC"/>
    <w:rsid w:val="00FA6373"/>
    <w:rsid w:val="00FB129C"/>
    <w:rsid w:val="00FC5A29"/>
    <w:rsid w:val="00FD3E55"/>
    <w:rsid w:val="00FE31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FD3DF"/>
  <w15:docId w15:val="{4710ADF1-DE5C-4F59-AEEC-E4E39392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 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 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character" w:styleId="AklamaBavurusu">
    <w:name w:val="annotation reference"/>
    <w:basedOn w:val="VarsaylanParagrafYazTipi"/>
    <w:uiPriority w:val="99"/>
    <w:semiHidden/>
    <w:unhideWhenUsed/>
    <w:rsid w:val="007611E5"/>
    <w:rPr>
      <w:sz w:val="16"/>
      <w:szCs w:val="16"/>
    </w:rPr>
  </w:style>
  <w:style w:type="paragraph" w:styleId="AklamaMetni">
    <w:name w:val="annotation text"/>
    <w:basedOn w:val="Normal"/>
    <w:link w:val="AklamaMetniChar"/>
    <w:uiPriority w:val="99"/>
    <w:semiHidden/>
    <w:unhideWhenUsed/>
    <w:rsid w:val="007611E5"/>
    <w:rPr>
      <w:sz w:val="20"/>
    </w:rPr>
  </w:style>
  <w:style w:type="character" w:customStyle="1" w:styleId="AklamaMetniChar">
    <w:name w:val="Açıklama Metni Char"/>
    <w:basedOn w:val="VarsaylanParagrafYazTipi"/>
    <w:link w:val="AklamaMetni"/>
    <w:uiPriority w:val="99"/>
    <w:semiHidden/>
    <w:rsid w:val="007611E5"/>
    <w:rPr>
      <w:rFonts w:ascii="Zapf_Humanist" w:eastAsia="Times New Roman" w:hAnsi="Zapf_Humanist"/>
      <w:snapToGrid w:val="0"/>
    </w:rPr>
  </w:style>
  <w:style w:type="paragraph" w:styleId="AklamaKonusu">
    <w:name w:val="annotation subject"/>
    <w:basedOn w:val="AklamaMetni"/>
    <w:next w:val="AklamaMetni"/>
    <w:link w:val="AklamaKonusuChar"/>
    <w:uiPriority w:val="99"/>
    <w:semiHidden/>
    <w:unhideWhenUsed/>
    <w:rsid w:val="007611E5"/>
    <w:rPr>
      <w:b/>
      <w:bCs/>
    </w:rPr>
  </w:style>
  <w:style w:type="character" w:customStyle="1" w:styleId="AklamaKonusuChar">
    <w:name w:val="Açıklama Konusu Char"/>
    <w:basedOn w:val="AklamaMetniChar"/>
    <w:link w:val="AklamaKonusu"/>
    <w:uiPriority w:val="99"/>
    <w:semiHidden/>
    <w:rsid w:val="007611E5"/>
    <w:rPr>
      <w:rFonts w:ascii="Zapf_Humanist" w:eastAsia="Times New Roman" w:hAnsi="Zapf_Humanist"/>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409874">
      <w:bodyDiv w:val="1"/>
      <w:marLeft w:val="0"/>
      <w:marRight w:val="0"/>
      <w:marTop w:val="0"/>
      <w:marBottom w:val="0"/>
      <w:divBdr>
        <w:top w:val="none" w:sz="0" w:space="0" w:color="auto"/>
        <w:left w:val="none" w:sz="0" w:space="0" w:color="auto"/>
        <w:bottom w:val="none" w:sz="0" w:space="0" w:color="auto"/>
        <w:right w:val="none" w:sz="0" w:space="0" w:color="auto"/>
      </w:divBdr>
    </w:div>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474640322">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9AA4F-3821-44AD-AB59-845A5F0D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Fatma Nükhet YİĞİT</cp:lastModifiedBy>
  <cp:revision>2</cp:revision>
  <cp:lastPrinted>2019-08-29T07:04:00Z</cp:lastPrinted>
  <dcterms:created xsi:type="dcterms:W3CDTF">2021-04-27T08:14:00Z</dcterms:created>
  <dcterms:modified xsi:type="dcterms:W3CDTF">2021-04-27T08:14:00Z</dcterms:modified>
</cp:coreProperties>
</file>